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hd w:fill="153D6B" w:val="clear"/>
        <w:spacing w:before="160" w:after="160"/>
        <w:jc w:val="center"/>
      </w:pPr>
      <w:r>
        <w:rPr>
          <w:rFonts w:ascii="Arial" w:cs="Arial" w:eastAsia="Arial" w:hAnsi="Arial"/>
          <w:b/>
          <w:bCs/>
          <w:color w:val="FFFFFF"/>
          <w:sz w:val="36"/>
          <w:szCs w:val="36"/>
        </w:rPr>
        <w:t xml:space="preserve">RÉCAPITULATIF GLOBAL DES TECHNOLOGIES COMPLÉMENTAIRES</w:t>
      </w:r>
    </w:p>
    <w:p>
      <w:pPr>
        <w:shd w:fill="1F5C99" w:val="clear"/>
        <w:spacing w:before="120" w:after="120"/>
        <w:jc w:val="center"/>
      </w:pPr>
      <w:r>
        <w:rPr>
          <w:rFonts w:ascii="Arial" w:cs="Arial" w:eastAsia="Arial" w:hAnsi="Arial"/>
          <w:color w:val="FFFFFF"/>
          <w:sz w:val="22"/>
          <w:szCs w:val="22"/>
        </w:rPr>
        <w:t xml:space="preserve">Projet Néré  ·  Docker  ·  Paiement (CinetPay &amp; Stripe)  ·  Sécurité  ·  Performance  ·  Haute Disponibilité</w:t>
      </w:r>
    </w:p>
    <w:p>
      <w:pPr>
        <w:spacing w:after="240"/>
      </w:pPr>
      <w:r>
        <w:t xml:space="preserve"/>
      </w:r>
    </w:p>
    <w:p>
      <w:pPr>
        <w:spacing w:after="100" w:line="268"/>
        <w:jc w:val="both"/>
      </w:pPr>
      <w:r>
        <w:rPr>
          <w:rFonts w:ascii="Arial" w:cs="Arial" w:eastAsia="Arial" w:hAnsi="Arial"/>
          <w:color w:val="111111"/>
          <w:sz w:val="20"/>
          <w:szCs w:val="20"/>
        </w:rPr>
        <w:t xml:space="preserve">Ce tableau synthétise l'ensemble des technologies complémentaires intégrées au projet Néré, réparties en cinq domaines stratégiques. Chaque technologie est décrite selon son rôle principal dans le système, sa mission concrète au sein de la plateforme, et son niveau d'importance pour la réussite du projet.</w:t>
      </w:r>
    </w:p>
    <w:p>
      <w:pPr>
        <w:spacing w:after="160"/>
      </w:pPr>
      <w:r>
        <w:t xml:space="preserve"/>
      </w:r>
    </w:p>
    <w:p>
      <w:pPr>
        <w:shd w:fill="F5F5F5" w:val="clear"/>
        <w:spacing w:after="160"/>
        <w:ind w:left="100"/>
      </w:pPr>
      <w:r>
        <w:rPr>
          <w:rFonts w:ascii="Arial" w:cs="Arial" w:eastAsia="Arial" w:hAnsi="Arial"/>
          <w:b/>
          <w:bCs/>
          <w:color w:val="153D6B"/>
          <w:sz w:val="19"/>
          <w:szCs w:val="19"/>
        </w:rPr>
        <w:t xml:space="preserve">  Légende — Niveau d'importance :  </w:t>
      </w:r>
      <w:r>
        <w:rPr>
          <w:rFonts w:ascii="Arial" w:cs="Arial" w:eastAsia="Arial" w:hAnsi="Arial"/>
          <w:color w:val="111111"/>
          <w:sz w:val="19"/>
          <w:szCs w:val="19"/>
        </w:rPr>
        <w:t xml:space="preserve">  🔴 Critique (indispensable dès la V1)  </w:t>
      </w:r>
      <w:r>
        <w:rPr>
          <w:rFonts w:ascii="Arial" w:cs="Arial" w:eastAsia="Arial" w:hAnsi="Arial"/>
          <w:color w:val="111111"/>
          <w:sz w:val="19"/>
          <w:szCs w:val="19"/>
        </w:rPr>
        <w:t xml:space="preserve">  🟠 Élevée (fortement recommandé)  </w:t>
      </w:r>
      <w:r>
        <w:rPr>
          <w:rFonts w:ascii="Arial" w:cs="Arial" w:eastAsia="Arial" w:hAnsi="Arial"/>
          <w:color w:val="111111"/>
          <w:sz w:val="19"/>
          <w:szCs w:val="19"/>
        </w:rPr>
        <w:t xml:space="preserve">  🟡 Moyenne (prévu en V2)  </w:t>
      </w:r>
    </w:p>
    <w:p>
      <w:pPr>
        <w:spacing w:after="16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2400"/>
        <w:gridCol w:w="2800"/>
        <w:gridCol w:w="1960"/>
      </w:tblGrid>
      <w:tr>
        <w:trPr>
          <w:tblHeader/>
        </w:trPr>
        <w:tc>
          <w:tcPr>
            <w:tcW w:type="dxa" w:w="2200"/>
            <w:shd w:fill="153D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 Technologie</w:t>
            </w:r>
          </w:p>
        </w:tc>
        <w:tc>
          <w:tcPr>
            <w:tcW w:type="dxa" w:w="2400"/>
            <w:shd w:fill="153D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 Rôle principal</w:t>
            </w:r>
          </w:p>
        </w:tc>
        <w:tc>
          <w:tcPr>
            <w:tcW w:type="dxa" w:w="2800"/>
            <w:shd w:fill="153D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 Mission dans Néré</w:t>
            </w:r>
          </w:p>
        </w:tc>
        <w:tc>
          <w:tcPr>
            <w:tcW w:type="dxa" w:w="1960"/>
            <w:shd w:fill="153D6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 Importance</w:t>
            </w:r>
          </w:p>
        </w:tc>
      </w:tr>
      <w:tr>
        <w:tc>
          <w:tcPr>
            <w:tcW w:type="dxa" w:w="9360"/>
            <w:gridSpan w:val="4"/>
            <w:shd w:fill="0D7377" w:val="clear"/>
            <w:tcMar>
              <w:top w:type="dxa" w:w="80"/>
              <w:left w:type="dxa" w:w="200"/>
              <w:bottom w:type="dxa" w:w="80"/>
              <w:right w:type="dxa" w:w="140"/>
            </w:tcMar>
          </w:tcPr>
          <w:p>
            <w:r>
              <w:rPr>
                <w:rFonts w:ascii="Arial" w:cs="Arial" w:eastAsia="Arial" w:hAnsi="Arial"/>
                <w:b/>
                <w:bCs/>
                <w:color w:val="FFFFFF"/>
                <w:sz w:val="21"/>
                <w:szCs w:val="21"/>
              </w:rPr>
              <w:t xml:space="preserve">  ▶  CONTENEURISATION &amp; DÉPLOIEMENT</w:t>
            </w:r>
          </w:p>
        </w:tc>
      </w:tr>
      <w:tr>
        <w:tc>
          <w:tcPr>
            <w:tcW w:type="dxa" w:w="2200"/>
            <w:shd w:fill="D0EEEF"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Docker</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Conteneurisation des services</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Empaquète chaque composant (FastAPI, React, PostgreSQL, Redis) dans des conteneurs isolés, portables et reproductibles pour garantir la cohérence entre dev, staging et production.</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Socle de toute l'infrastructure. Sans Docker, les déploiements sont instables et non reproductibles.</w:t>
            </w:r>
          </w:p>
        </w:tc>
      </w:tr>
      <w:tr>
        <w:tc>
          <w:tcPr>
            <w:tcW w:type="dxa" w:w="2200"/>
            <w:shd w:fill="D0EEEF"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Docker Compose</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Orchestration locale multi-conteneurs</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Orchestre l'ensemble des services Néré en un seul fichier (API + BDD + Redis + Nginx) pour le développement et les environnements de test. Lance tout l'écosystème en une seule commande.</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Simplifie radicalement le travail de l'équipe technique et réduit les erreurs de configuration.</w:t>
            </w:r>
          </w:p>
        </w:tc>
      </w:tr>
      <w:tr>
        <w:tc>
          <w:tcPr>
            <w:tcW w:type="dxa" w:w="2200"/>
            <w:shd w:fill="D0EEEF"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Images Alpine Linux</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Base légère pour les conteneurs</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Utilise des images Docker minimalistes pour réduire la taille des conteneurs (~5 Mo vs ~300 Mo), cruciale dans le contexte de faible bande passante du Cameroun.</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Élevée — Réduit les temps de téléchargement et la surface d'attaque des conteneurs.</w:t>
            </w:r>
          </w:p>
        </w:tc>
      </w:tr>
      <w:tr>
        <w:tc>
          <w:tcPr>
            <w:tcW w:type="dxa" w:w="9360"/>
            <w:gridSpan w:val="4"/>
            <w:shd w:fill="1A7A4A" w:val="clear"/>
            <w:tcMar>
              <w:top w:type="dxa" w:w="80"/>
              <w:left w:type="dxa" w:w="200"/>
              <w:bottom w:type="dxa" w:w="80"/>
              <w:right w:type="dxa" w:w="140"/>
            </w:tcMar>
          </w:tcPr>
          <w:p>
            <w:r>
              <w:rPr>
                <w:rFonts w:ascii="Arial" w:cs="Arial" w:eastAsia="Arial" w:hAnsi="Arial"/>
                <w:b/>
                <w:bCs/>
                <w:color w:val="FFFFFF"/>
                <w:sz w:val="21"/>
                <w:szCs w:val="21"/>
              </w:rPr>
              <w:t xml:space="preserve">  ▶  SYSTÈME DE PAIEMENT EN LIGNE</w:t>
            </w:r>
          </w:p>
        </w:tc>
      </w:tr>
      <w:tr>
        <w:tc>
          <w:tcPr>
            <w:tcW w:type="dxa" w:w="2200"/>
            <w:shd w:fill="D4EDDA"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CinetPay</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Passerelle de paiement africaine</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Gère les paiements des consultations en ligne via MTN Mobile Money, Orange Money et cartes bancaires locales. Couverture de +90% des utilisateurs camerounais. API REST compatible FastAPI avec sandbox de test.</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Principal moyen de paiement pour les patients et médecins locaux. Viabilité économique directe de Néré.</w:t>
            </w:r>
          </w:p>
        </w:tc>
      </w:tr>
      <w:tr>
        <w:tc>
          <w:tcPr>
            <w:tcW w:type="dxa" w:w="2200"/>
            <w:shd w:fill="D4EDDA"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Stripe</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Passerelle de paiement internationale</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Gère les paiements par cartes Visa/Mastercard internationales pour les médecins de la diaspora ou patients depuis l'étranger. Intégration V2 de Néré pour l'ouverture internationale.</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Moyenne (V1) → Critique (V2) — Nécessaire pour l'expansion internationale de la plateforme.</w:t>
            </w:r>
          </w:p>
        </w:tc>
      </w:tr>
      <w:tr>
        <w:tc>
          <w:tcPr>
            <w:tcW w:type="dxa" w:w="2200"/>
            <w:shd w:fill="D4EDDA"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Couche d'abstraction paiement</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Service de paiement unifié (FastAPI)</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Module interne qui abstrait CinetPay et Stripe derrière une interface unique. Gère les webhooks de confirmation, les remboursements, l'historique des transactions et les reçus médicaux.</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Permet de changer de fournisseur sans refactorisation du code métier. Fiabilité des transactions médicales.</w:t>
            </w:r>
          </w:p>
        </w:tc>
      </w:tr>
      <w:tr>
        <w:tc>
          <w:tcPr>
            <w:tcW w:type="dxa" w:w="9360"/>
            <w:gridSpan w:val="4"/>
            <w:shd w:fill="5B2D8E" w:val="clear"/>
            <w:tcMar>
              <w:top w:type="dxa" w:w="80"/>
              <w:left w:type="dxa" w:w="200"/>
              <w:bottom w:type="dxa" w:w="80"/>
              <w:right w:type="dxa" w:w="140"/>
            </w:tcMar>
          </w:tcPr>
          <w:p>
            <w:r>
              <w:rPr>
                <w:rFonts w:ascii="Arial" w:cs="Arial" w:eastAsia="Arial" w:hAnsi="Arial"/>
                <w:b/>
                <w:bCs/>
                <w:color w:val="FFFFFF"/>
                <w:sz w:val="21"/>
                <w:szCs w:val="21"/>
              </w:rPr>
              <w:t xml:space="preserve">  ▶  SÉCURITÉ DES DONNÉES &amp; ACCÈS</w:t>
            </w:r>
          </w:p>
        </w:tc>
      </w:tr>
      <w:tr>
        <w:tc>
          <w:tcPr>
            <w:tcW w:type="dxa" w:w="2200"/>
            <w:shd w:fill="E8DEFF"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JWT + OAuth2</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Authentification &amp; autorisation</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Gère les tokens d'accès (15 min) et de rafraîchissement (7 jours) pour chaque session utilisateur. OAuth2 permet une intégration future avec des SSO institutionnels (Ministère de la Santé).</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Aucun accès à la plateforme sans authentification valide. Protège toutes les données médicales.</w:t>
            </w:r>
          </w:p>
        </w:tc>
      </w:tr>
      <w:tr>
        <w:tc>
          <w:tcPr>
            <w:tcW w:type="dxa" w:w="2200"/>
            <w:shd w:fill="E8DEFF"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2FA / TOTP</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Double authentification pour médecins</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Ajoute une couche de vérification via Google Authenticator ou SMS pour les comptes à privilèges (médecins, admins). Indispensable pour la conformité médicale.</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Prévient les usurpations d'identité de professionnels de santé, à très haut risque médico-légal.</w:t>
            </w:r>
          </w:p>
        </w:tc>
      </w:tr>
      <w:tr>
        <w:tc>
          <w:tcPr>
            <w:tcW w:type="dxa" w:w="2200"/>
            <w:shd w:fill="E8DEFF"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RBAC</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Contrôle d'accès basé sur les rôles</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Définit et applique des permissions strictes pour chaque profil (Patient, Médecin, Structure, Admin, Observateur). Chaque endpoint FastAPI vérifie le rôle avant d'autoriser l'action.</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Empêche un patient d'accéder aux données d'un autre, ou un observateur de modifier des données.</w:t>
            </w:r>
          </w:p>
        </w:tc>
      </w:tr>
      <w:tr>
        <w:tc>
          <w:tcPr>
            <w:tcW w:type="dxa" w:w="2200"/>
            <w:shd w:fill="E8DEFF"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AES-256 + pgcrypto</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Chiffrement des données au repos</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Chiffre les colonnes sensibles de PostgreSQL (diagnostics, ordonnances, historique médical) via l'extension pgcrypto. Les données restent illisibles même en cas d'accès non autorisé à la base.</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Exigence légale pour les données médicales. Conformité Ministère Santé Cameroun + RGPD.</w:t>
            </w:r>
          </w:p>
        </w:tc>
      </w:tr>
      <w:tr>
        <w:tc>
          <w:tcPr>
            <w:tcW w:type="dxa" w:w="2200"/>
            <w:shd w:fill="E8DEFF"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TLS 1.3 / HTTPS</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Chiffrement des communications</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Chiffre toutes les communications entre clients (mobile/web) et serveurs. Certificat SSL via Let's Encrypt. Aucune donnée médicale ne transite en clair sur le réseau.</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Protection des données en transit. Obligatoire pour toute application de santé.</w:t>
            </w:r>
          </w:p>
        </w:tc>
      </w:tr>
      <w:tr>
        <w:tc>
          <w:tcPr>
            <w:tcW w:type="dxa" w:w="2200"/>
            <w:shd w:fill="E8DEFF"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Bcrypt / Argon2</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Hachage sécurisé des mots de passe</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Hache les mots de passe utilisateurs avant stockage avec sel aléatoire. Résistant aux attaques par force brute et tables arc-en-ciel. Aucun mot de passe stocké en clair.</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Protection des comptes en cas de fuite de base de données.</w:t>
            </w:r>
          </w:p>
        </w:tc>
      </w:tr>
      <w:tr>
        <w:tc>
          <w:tcPr>
            <w:tcW w:type="dxa" w:w="2200"/>
            <w:shd w:fill="E8DEFF"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Trivy + Bandit</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Scan de sécurité automatisé</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Trivy scanne les images Docker à la recherche de vulnérabilités connues (CVE). Bandit analyse le code Python FastAPI pour détecter les failles de sécurité avant chaque déploiement.</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Élevée — Intégré au pipeline CI/CD. Détecte les vulnérabilités avant qu'elles n'atteignent la production.</w:t>
            </w:r>
          </w:p>
        </w:tc>
      </w:tr>
      <w:tr>
        <w:tc>
          <w:tcPr>
            <w:tcW w:type="dxa" w:w="9360"/>
            <w:gridSpan w:val="4"/>
            <w:shd w:fill="C0570A" w:val="clear"/>
            <w:tcMar>
              <w:top w:type="dxa" w:w="80"/>
              <w:left w:type="dxa" w:w="200"/>
              <w:bottom w:type="dxa" w:w="80"/>
              <w:right w:type="dxa" w:w="140"/>
            </w:tcMar>
          </w:tcPr>
          <w:p>
            <w:r>
              <w:rPr>
                <w:rFonts w:ascii="Arial" w:cs="Arial" w:eastAsia="Arial" w:hAnsi="Arial"/>
                <w:b/>
                <w:bCs/>
                <w:color w:val="FFFFFF"/>
                <w:sz w:val="21"/>
                <w:szCs w:val="21"/>
              </w:rPr>
              <w:t xml:space="preserve">  ▶  PERFORMANCE, FLUIDITÉ &amp; RAPIDITÉ</w:t>
            </w:r>
          </w:p>
        </w:tc>
      </w:tr>
      <w:tr>
        <w:tc>
          <w:tcPr>
            <w:tcW w:type="dxa" w:w="2200"/>
            <w:shd w:fill="FDE8D8"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Redis</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Cache en mémoire &amp; file de messages</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Met en cache les données fréquentes (annuaire médecins, créneaux, tableaux de bord) avec TTL configuré. Réduit de 70-90% les requêtes PostgreSQL. Sert aussi de broker pour Celery.</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Indispensable pour la fluidité en faible bande passante. Réduit drastiquement les temps de réponse.</w:t>
            </w:r>
          </w:p>
        </w:tc>
      </w:tr>
      <w:tr>
        <w:tc>
          <w:tcPr>
            <w:tcW w:type="dxa" w:w="2200"/>
            <w:shd w:fill="FDE8D8"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Celery</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File de tâches asynchrones</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Exécute en arrière-plan les tâches lourdes non bloquantes : envoi d'emails/SMS de confirmation, génération de rapports PDF, notifications push, traitement IA médicale, export observateurs.</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Élevée — Maintient la fluidité de l'interface pendant les opérations longues. Améliore l'expérience utilisateur.</w:t>
            </w:r>
          </w:p>
        </w:tc>
      </w:tr>
      <w:tr>
        <w:tc>
          <w:tcPr>
            <w:tcW w:type="dxa" w:w="2200"/>
            <w:shd w:fill="FDE8D8"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FastAPI async/await</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API non bloquante haute performance</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Exploite le paradigme asynchrone natif de FastAPI pour traiter des centaines de requêtes simultanées sans blocage. Chaque endpoint utilise async/await pour les opérations I/O (BDD, fichiers, APIs tiers).</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Permet à Néré de servir de nombreux utilisateurs simultanément avec des ressources serveur limitées.</w:t>
            </w:r>
          </w:p>
        </w:tc>
      </w:tr>
      <w:tr>
        <w:tc>
          <w:tcPr>
            <w:tcW w:type="dxa" w:w="2200"/>
            <w:shd w:fill="FDE8D8"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PgBouncer</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Pooling de connexions PostgreSQL</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Maintient un pool de connexions réutilisables vers PostgreSQL. Évite d'ouvrir/fermer une connexion BDD à chaque requête API, réduisant la latence et la charge serveur.</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Élevée — Critique quand le nombre d'utilisateurs simultanés augmente. Prévient la saturation de PostgreSQL.</w:t>
            </w:r>
          </w:p>
        </w:tc>
      </w:tr>
      <w:tr>
        <w:tc>
          <w:tcPr>
            <w:tcW w:type="dxa" w:w="2200"/>
            <w:shd w:fill="FDE8D8"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Compression Gzip/Brotli</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Optimisation des données transférées</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Compresse les réponses API et les assets frontend avant envoi. Réduit de 60-80% le volume de données transférées, crucial pour les utilisateurs en zone à faible débit au Cameroun.</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Amélioration directe de l'expérience utilisateur sur réseaux lents (3G/faible débit).</w:t>
            </w:r>
          </w:p>
        </w:tc>
      </w:tr>
      <w:tr>
        <w:tc>
          <w:tcPr>
            <w:tcW w:type="dxa" w:w="2200"/>
            <w:shd w:fill="FDE8D8"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Service Worker (PWA)</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Fonctionnement hors ligne partiel</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Cache les ressources statiques et certaines données côté client (React). Permet à l'application de fonctionner partiellement sans connexion et de se recharger instantanément.</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Élevée — Adapté aux zones à connectivité intermittente en Afrique. Améliore la rétention utilisateur.</w:t>
            </w:r>
          </w:p>
        </w:tc>
      </w:tr>
      <w:tr>
        <w:tc>
          <w:tcPr>
            <w:tcW w:type="dxa" w:w="9360"/>
            <w:gridSpan w:val="4"/>
            <w:shd w:fill="1F5C99" w:val="clear"/>
            <w:tcMar>
              <w:top w:type="dxa" w:w="80"/>
              <w:left w:type="dxa" w:w="200"/>
              <w:bottom w:type="dxa" w:w="80"/>
              <w:right w:type="dxa" w:w="140"/>
            </w:tcMar>
          </w:tcPr>
          <w:p>
            <w:r>
              <w:rPr>
                <w:rFonts w:ascii="Arial" w:cs="Arial" w:eastAsia="Arial" w:hAnsi="Arial"/>
                <w:b/>
                <w:bCs/>
                <w:color w:val="FFFFFF"/>
                <w:sz w:val="21"/>
                <w:szCs w:val="21"/>
              </w:rPr>
              <w:t xml:space="preserve">  ▶  HAUTE DISPONIBILITÉ, TRAÇABILITÉ &amp; RÉSILIENCE</w:t>
            </w:r>
          </w:p>
        </w:tc>
      </w:tr>
      <w:tr>
        <w:tc>
          <w:tcPr>
            <w:tcW w:type="dxa" w:w="2200"/>
            <w:shd w:fill="D6E4F0"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Nginx</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Load Balancer &amp; Reverse Proxy</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Distribue le trafic entre plusieurs instances FastAPI (algorithme least_conn). Sert de reverse proxy, gère les certificats SSL, le rate limiting, et les headers de sécurité HTTP.</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Point d'entrée unique et sécurisé. Garantit la disponibilité si une instance API tombe.</w:t>
            </w:r>
          </w:p>
        </w:tc>
      </w:tr>
      <w:tr>
        <w:tc>
          <w:tcPr>
            <w:tcW w:type="dxa" w:w="2200"/>
            <w:shd w:fill="D6E4F0"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PostgreSQL Réplication</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Base de données haute disponibilité</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Configure un nœud Primary (lectures + écritures) et un ou plusieurs Replicas (lectures seules). Les rapports et tableaux de bord observateurs interrogent le Replica pour décharger le Primary.</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Zéro perte de données en cas de panne du serveur principal. Continuité de service garantie.</w:t>
            </w:r>
          </w:p>
        </w:tc>
      </w:tr>
      <w:tr>
        <w:tc>
          <w:tcPr>
            <w:tcW w:type="dxa" w:w="2200"/>
            <w:shd w:fill="D6E4F0"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Patroni</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Failover automatique PostgreSQL</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Surveille la santé du nœud Primary PostgreSQL et bascule automatiquement vers un Replica en cas de panne, sans intervention humaine. Le temps d'indisponibilité est réduit à quelques secondes.</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Élevée — Essentiel pour une plateforme médicale où l'indisponibilité peut avoir des conséquences critiques.</w:t>
            </w:r>
          </w:p>
        </w:tc>
      </w:tr>
      <w:tr>
        <w:tc>
          <w:tcPr>
            <w:tcW w:type="dxa" w:w="2200"/>
            <w:shd w:fill="D6E4F0"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Prometheus + Grafana</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Monitoring &amp; alertes en temps réel</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Prometheus collecte les métriques système (CPU, RAM, latence API, erreurs). Grafana visualise ces données en tableaux de bord. Alertmanager envoie des alertes SMS/email si des seuils critiques sont dépassés.</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Détection proactive des pannes et dégradations de performance avant qu'elles impactent les utilisateurs.</w:t>
            </w:r>
          </w:p>
        </w:tc>
      </w:tr>
      <w:tr>
        <w:tc>
          <w:tcPr>
            <w:tcW w:type="dxa" w:w="2200"/>
            <w:shd w:fill="D6E4F0"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Audit Log (PostgreSQL)</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Traçabilité complète des actions</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Enregistre dans une table dédiée toute consultation, modification ou suppression de données médicales : qui, quoi, quand, depuis quelle IP. Permet les audits de conformité et la détection d'accès suspects.</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Exigence légale pour les données médicales. Traçabilité totale pour la responsabilité médicale.</w:t>
            </w:r>
          </w:p>
        </w:tc>
      </w:tr>
      <w:tr>
        <w:tc>
          <w:tcPr>
            <w:tcW w:type="dxa" w:w="2200"/>
            <w:shd w:fill="D6E4F0"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Stratégie de sauvegarde</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Continuité des données (PRA)</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Backup complet quotidien (3h du matin) + incrémental toutes les 6h. Rétention 30 jours. Stockage chiffré sur cloud souverain africain. Test de restauration mensuel obligatoire.</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Critique — Garantit la récupération complète des données médicales en cas de sinistre ou cyberattaque.</w:t>
            </w:r>
          </w:p>
        </w:tc>
      </w:tr>
      <w:tr>
        <w:tc>
          <w:tcPr>
            <w:tcW w:type="dxa" w:w="2200"/>
            <w:shd w:fill="D6E4F0"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GitHub Actions (CI/CD)</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Pipeline de déploiement automatisé</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Automatise : tests unitaires (Pytest), tests d'intégration, scan sécurité (Trivy + Bandit), build Docker, déploiement staging automatique, déploiement production avec validation manuelle.</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Élevée — Garantit que chaque version déployée est testée et sécurisée. Réduit les erreurs humaines au déploiement.</w:t>
            </w:r>
          </w:p>
        </w:tc>
      </w:tr>
      <w:tr>
        <w:tc>
          <w:tcPr>
            <w:tcW w:type="dxa" w:w="2200"/>
            <w:shd w:fill="D6E4F0" w:val="clear"/>
            <w:tcMar>
              <w:top w:type="dxa" w:w="90"/>
              <w:left w:type="dxa" w:w="140"/>
              <w:bottom w:type="dxa" w:w="90"/>
              <w:right w:type="dxa" w:w="140"/>
            </w:tcMar>
            <w:vAlign w:val="center"/>
          </w:tcPr>
          <w:p>
            <w:pPr>
              <w:jc w:val="center"/>
            </w:pPr>
            <w:r>
              <w:rPr>
                <w:rFonts w:ascii="Arial" w:cs="Arial" w:eastAsia="Arial" w:hAnsi="Arial"/>
                <w:b/>
                <w:bCs/>
                <w:color w:val="153D6B"/>
                <w:sz w:val="19"/>
                <w:szCs w:val="19"/>
              </w:rPr>
              <w:t xml:space="preserve">Rate Limiting (slowapi)</w:t>
            </w:r>
          </w:p>
        </w:tc>
        <w:tc>
          <w:tcPr>
            <w:tcW w:type="dxa" w:w="24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Protection contre les abus</w:t>
            </w:r>
          </w:p>
        </w:tc>
        <w:tc>
          <w:tcPr>
            <w:tcW w:type="dxa" w:w="280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Limite le nombre de requêtes par utilisateur/IP (ex: 100 req/min). Protège l'API contre les attaques DDoS, le brute force sur les connexions, et les abus de l'API de paiement.</w:t>
            </w:r>
          </w:p>
        </w:tc>
        <w:tc>
          <w:tcPr>
            <w:tcW w:type="dxa" w:w="1960"/>
            <w:shd w:fill="FFFFFF" w:val="clear"/>
            <w:tcMar>
              <w:top w:type="dxa" w:w="90"/>
              <w:left w:type="dxa" w:w="140"/>
              <w:bottom w:type="dxa" w:w="90"/>
              <w:right w:type="dxa" w:w="140"/>
            </w:tcMar>
            <w:vAlign w:val="center"/>
          </w:tcPr>
          <w:p>
            <w:pPr>
              <w:jc w:val="both"/>
            </w:pPr>
            <w:r>
              <w:rPr>
                <w:rFonts w:ascii="Arial" w:cs="Arial" w:eastAsia="Arial" w:hAnsi="Arial"/>
                <w:b w:val="false"/>
                <w:bCs w:val="false"/>
                <w:color w:val="111111"/>
                <w:sz w:val="19"/>
                <w:szCs w:val="19"/>
              </w:rPr>
              <w:t xml:space="preserve">🟠 Élevée — Protège la disponibilité de la plateforme et sécurise les endpoints sensibles (auth, paiement).</w:t>
            </w:r>
          </w:p>
        </w:tc>
      </w:tr>
    </w:tbl>
    <w:p>
      <w:pPr>
        <w:spacing w:after="280"/>
      </w:pPr>
      <w:r>
        <w:t xml:space="preserve"/>
      </w:r>
    </w:p>
    <w:p>
      <w:pPr>
        <w:shd w:fill="153D6B" w:val="clear"/>
        <w:spacing w:before="160" w:after="160"/>
        <w:jc w:val="center"/>
      </w:pPr>
      <w:r>
        <w:rPr>
          <w:rFonts w:ascii="Arial" w:cs="Arial" w:eastAsia="Arial" w:hAnsi="Arial"/>
          <w:b/>
          <w:bCs/>
          <w:color w:val="FFFFFF"/>
          <w:sz w:val="26"/>
          <w:szCs w:val="26"/>
        </w:rPr>
        <w:t xml:space="preserve">SYNTHÈSE EXÉCUTIVE</w:t>
      </w:r>
    </w:p>
    <w:p>
      <w:pPr>
        <w:spacing w:after="120"/>
      </w:pPr>
      <w:r>
        <w:t xml:space="preserve"/>
      </w:r>
    </w:p>
    <w:p>
      <w:pPr>
        <w:spacing w:after="100" w:line="268"/>
        <w:jc w:val="both"/>
      </w:pPr>
      <w:r>
        <w:rPr>
          <w:rFonts w:ascii="Arial" w:cs="Arial" w:eastAsia="Arial" w:hAnsi="Arial"/>
          <w:color w:val="111111"/>
          <w:sz w:val="20"/>
          <w:szCs w:val="20"/>
        </w:rPr>
        <w:t xml:space="preserve">L'intégration de ces 23 technologies complémentaires transforme Néré d'une simple application web en une plateforme médicale robuste, sécurisée et pérenne. Docker assure la portabilité et la cohérence de l'infrastructure. CinetPay et Stripe garantissent la viabilité économique du modèle de téléconsultation. Les couches de sécurité (JWT, 2FA, AES-256, RBAC, TLS) protègent les données médicales sensibles conformément aux exigences légales camerounaises. Les outils de performance (Redis, Celery, FastAPI async) assurent une fluidité optimale même en faible débit. Enfin, l'architecture haute disponibilité (Nginx, Réplication PostgreSQL, Patroni, Prometheus) garantit une continuité de service indispensable pour une plateforme de santé critique.</w:t>
      </w:r>
    </w:p>
    <w:p>
      <w:pPr>
        <w:spacing w:after="120"/>
      </w:pPr>
      <w:r>
        <w:t xml:space="preserve"/>
      </w:r>
    </w:p>
    <w:p>
      <w:pPr>
        <w:jc w:val="center"/>
      </w:pPr>
      <w:r>
        <w:rPr>
          <w:rFonts w:ascii="Arial" w:cs="Arial" w:eastAsia="Arial" w:hAnsi="Arial"/>
          <w:color w:val="1F5C99"/>
          <w:sz w:val="20"/>
          <w:szCs w:val="20"/>
        </w:rPr>
        <w:t xml:space="preserve">─────────────────────────────────────────────────────────────────────────────────────────────────────────</w:t>
      </w:r>
    </w:p>
    <w:p>
      <w:pPr>
        <w:spacing w:after="80"/>
      </w:pPr>
      <w:r>
        <w:t xml:space="preserve"/>
      </w:r>
    </w:p>
    <w:p>
      <w:pPr>
        <w:jc w:val="center"/>
      </w:pPr>
      <w:r>
        <w:rPr>
          <w:rFonts w:ascii="Arial" w:cs="Arial" w:eastAsia="Arial" w:hAnsi="Arial"/>
          <w:i/>
          <w:iCs/>
          <w:color w:val="555555"/>
          <w:sz w:val="18"/>
          <w:szCs w:val="18"/>
        </w:rPr>
        <w:t xml:space="preserve">Projet Néré  ·  Plateforme Numérique de Santé  ·  Cameroun  ·  2025</w:t>
      </w:r>
    </w:p>
    <w:sectPr>
      <w:headerReference w:type="default" r:id="rId6"/>
      <w:footerReference w:type="default" r:id="rId7"/>
      <w:pgSz w:w="16838" w:h="11906"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jc w:val="right"/>
    </w:pPr>
    <w:r>
      <w:rPr>
        <w:rFonts w:ascii="Arial" w:cs="Arial" w:eastAsia="Arial" w:hAnsi="Arial"/>
        <w:color w:val="555555"/>
        <w:sz w:val="17"/>
        <w:szCs w:val="17"/>
      </w:rPr>
      <w:t xml:space="preserve">Docker  •  CinetPay &amp; Stripe  •  Sécurité, Performance &amp; Haute Disponibilité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4"/>
      </w:pBdr>
      <w:jc w:val="left"/>
    </w:pPr>
    <w:r>
      <w:rPr>
        <w:rFonts w:ascii="Arial" w:cs="Arial" w:eastAsia="Arial" w:hAnsi="Arial"/>
        <w:b/>
        <w:bCs/>
        <w:color w:val="1F5C99"/>
        <w:sz w:val="19"/>
        <w:szCs w:val="19"/>
      </w:rPr>
      <w:t xml:space="preserve">PROJET NÉRÉ  —  Tableau Récapitulatif des Technologies Complémentaires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FFFFF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2026-03-04T20:07:52.472Z</dcterms:created>
  <dcterms:modified xsi:type="dcterms:W3CDTF">2026-03-04T20:07:52.473Z</dcterms:modified>
</cp:coreProperties>
</file>

<file path=docProps/custom.xml><?xml version="1.0" encoding="utf-8"?>
<Properties xmlns="http://schemas.openxmlformats.org/officeDocument/2006/custom-properties" xmlns:vt="http://schemas.openxmlformats.org/officeDocument/2006/docPropsVTypes"/>
</file>