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0D2B5E"/>
          <w:sz w:val="88"/>
          <w:szCs w:val="88"/>
        </w:rPr>
        <w:t xml:space="preserve">PROJET NÉRÉ</w:t>
      </w:r>
    </w:p>
    <w:p>
      <w:pPr>
        <w:jc w:val="center"/>
      </w:pPr>
      <w:r>
        <w:rPr>
          <w:rFonts w:ascii="Arial" w:cs="Arial" w:eastAsia="Arial" w:hAnsi="Arial"/>
          <w:i/>
          <w:iCs/>
          <w:color w:val="6B7280"/>
          <w:sz w:val="28"/>
          <w:szCs w:val="28"/>
        </w:rPr>
        <w:t xml:space="preserve">Plateforme Numérique de Santé — Cameroun</w:t>
      </w:r>
    </w:p>
    <w:p>
      <w:pPr>
        <w:spacing w:after="280"/>
      </w:pPr>
      <w:r>
        <w:t xml:space="preserve"/>
      </w:r>
    </w:p>
    <w:p>
      <w:pPr>
        <w:shd w:fill="0D2B5E" w:val="clear"/>
        <w:spacing w:before="140" w:after="100"/>
        <w:jc w:val="center"/>
      </w:pPr>
      <w:r>
        <w:rPr>
          <w:rFonts w:ascii="Arial" w:cs="Arial" w:eastAsia="Arial" w:hAnsi="Arial"/>
          <w:b/>
          <w:bCs/>
          <w:color w:val="FFFFFF"/>
          <w:sz w:val="40"/>
          <w:szCs w:val="40"/>
        </w:rPr>
        <w:t xml:space="preserve">DIAGRAMME DE SÉQUENCE</w:t>
      </w:r>
    </w:p>
    <w:p>
      <w:pPr>
        <w:shd w:fill="1D4ED8" w:val="clear"/>
        <w:spacing w:before="100" w:after="100"/>
        <w:jc w:val="center"/>
      </w:pPr>
      <w:r>
        <w:rPr>
          <w:rFonts w:ascii="Arial" w:cs="Arial" w:eastAsia="Arial" w:hAnsi="Arial"/>
          <w:color w:val="FFFFFF"/>
          <w:sz w:val="23"/>
          <w:szCs w:val="23"/>
        </w:rPr>
        <w:t xml:space="preserve">Explication Professionnelle Complète — Analyse Message par Message</w:t>
      </w:r>
    </w:p>
    <w:p>
      <w:pPr>
        <w:shd w:fill="1A3A6E" w:val="clear"/>
        <w:spacing w:before="100" w:after="160"/>
        <w:jc w:val="center"/>
      </w:pPr>
      <w:r>
        <w:rPr>
          <w:rFonts w:ascii="Arial" w:cs="Arial" w:eastAsia="Arial" w:hAnsi="Arial"/>
          <w:i/>
          <w:iCs/>
          <w:color w:val="A8C4FF"/>
          <w:sz w:val="19"/>
          <w:szCs w:val="19"/>
        </w:rPr>
        <w:t xml:space="preserve">4 Phases · 48 Messages · 8 Participants · Authentification → IA → RDV → Paiement → Téléconsultation</w:t>
      </w:r>
    </w:p>
    <w:p>
      <w:pPr>
        <w:spacing w:after="160"/>
      </w:pPr>
      <w:r>
        <w:t xml:space="preserve"/>
      </w:r>
    </w:p>
    <w:p>
      <w:pPr>
        <w:jc w:val="center"/>
      </w:pPr>
      <w:r>
        <w:rPr>
          <w:rFonts w:ascii="Arial" w:cs="Arial" w:eastAsia="Arial" w:hAnsi="Arial"/>
          <w:color w:val="1D4ED8"/>
          <w:sz w:val="22"/>
          <w:szCs w:val="22"/>
        </w:rPr>
        <w:t xml:space="preserve">──────────────────────────────────────────────────</w:t>
      </w:r>
    </w:p>
    <w:p>
      <w:pPr>
        <w:spacing w:after="120"/>
      </w:pPr>
      <w:r>
        <w:t xml:space="preserve"/>
      </w:r>
    </w:p>
    <w:p>
      <w:pPr>
        <w:jc w:val="center"/>
      </w:pPr>
      <w:r>
        <w:rPr>
          <w:rFonts w:ascii="Arial" w:cs="Arial" w:eastAsia="Arial" w:hAnsi="Arial"/>
          <w:color w:val="6B7280"/>
          <w:sz w:val="19"/>
          <w:szCs w:val="19"/>
        </w:rPr>
        <w:t xml:space="preserve">Mars 2025  ·  Document d'Architecture Technique</w:t>
      </w:r>
    </w:p>
    <w:p>
      <w:pPr>
        <w:spacing w:after="600"/>
      </w:pPr>
      <w:r>
        <w:t xml:space="preserve"/>
      </w:r>
    </w:p>
    <w:p>
      <w:r>
        <w:br w:type="page"/>
      </w:r>
    </w:p>
    <w:p>
      <w:pPr>
        <w:shd w:fill="0D2B5E" w:val="clear"/>
        <w:spacing w:before="240" w:after="200"/>
      </w:pPr>
      <w:r>
        <w:rPr>
          <w:rFonts w:ascii="Arial" w:cs="Arial" w:eastAsia="Arial" w:hAnsi="Arial"/>
          <w:b/>
          <w:bCs/>
          <w:color w:val="FFFFFF"/>
          <w:sz w:val="30"/>
          <w:szCs w:val="30"/>
        </w:rPr>
        <w:t xml:space="preserve">   SECTION 1 — QU'EST-CE QU'UN DIAGRAMME DE SÉQUENCE ?</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1.1  Définition UML 2.5</w:t>
      </w:r>
    </w:p>
    <w:p>
      <w:pPr>
        <w:spacing w:after="100" w:line="276"/>
        <w:jc w:val="both"/>
      </w:pPr>
      <w:r>
        <w:rPr>
          <w:rFonts w:ascii="Arial" w:cs="Arial" w:eastAsia="Arial" w:hAnsi="Arial"/>
          <w:color w:val="111827"/>
          <w:sz w:val="20"/>
          <w:szCs w:val="20"/>
        </w:rPr>
        <w:t xml:space="preserve">Le diagramme de séquence est un diagramme UML comportemental qui modélise les interactions entre des objets ou composants dans un ordre chronologique strict — du haut vers le bas. Il répond à la question fondamentale : Comment le système exécute-t-il ce processus, étape par étape, en montrant qui communique avec qui, dans quel ordre, et avec quels messages ?</w:t>
      </w:r>
    </w:p>
    <w:p>
      <w:pPr>
        <w:spacing w:after="100" w:line="276"/>
        <w:jc w:val="both"/>
      </w:pPr>
      <w:r>
        <w:rPr>
          <w:rFonts w:ascii="Arial" w:cs="Arial" w:eastAsia="Arial" w:hAnsi="Arial"/>
          <w:color w:val="111827"/>
          <w:sz w:val="20"/>
          <w:szCs w:val="20"/>
        </w:rPr>
        <w:t xml:space="preserve">Contrairement au diagramme de classes (qui montre la structure statique) ou au diagramme de cas d'utilisation (qui montre les fonctionnalités), le diagramme de séquence montre le comportement dynamique du système au fil du temps.</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1.2  Les éléments de notation UML utilisés dans ce diagramme</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200"/>
        <w:gridCol w:w="2200"/>
        <w:gridCol w:w="4626"/>
      </w:tblGrid>
      <w:tr>
        <w:trPr>
          <w:tblHeader/>
        </w:trPr>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Élément UML</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Représentation</w:t>
            </w:r>
          </w:p>
        </w:tc>
        <w:tc>
          <w:tcPr>
            <w:tcW w:type="dxa" w:w="46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Ce que ça signifie dans Néré</w:t>
            </w:r>
          </w:p>
        </w:tc>
      </w:tr>
      <w:tr>
        <w:tc>
          <w:tcPr>
            <w:tcW w:type="dxa" w:w="22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Participant</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Boîte rectangulaire en haut</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Un acteur ou composant du système : Patient, App Néré, API FastAPI, PostgreSQL, Redis, CinetPay, OpenAI, Celery.</w:t>
            </w:r>
          </w:p>
        </w:tc>
      </w:tr>
      <w:tr>
        <w:tc>
          <w:tcPr>
            <w:tcW w:type="dxa" w:w="22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Ligne de vie</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Ligne verticale pointillée</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Représente l'existence continue d'un participant dans le temps (de haut en bas = le temps qui s'écoule).</w:t>
            </w:r>
          </w:p>
        </w:tc>
      </w:tr>
      <w:tr>
        <w:tc>
          <w:tcPr>
            <w:tcW w:type="dxa" w:w="22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Boîte d'activation</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Rectangle sur la ligne de vie</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Indique qu'un composant est en train d'exécuter une tâche (il 'travaille'). Plus la boîte est longue, plus le traitement dure.</w:t>
            </w:r>
          </w:p>
        </w:tc>
      </w:tr>
      <w:tr>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D4ED8"/>
                <w:sz w:val="18"/>
                <w:szCs w:val="18"/>
              </w:rPr>
              <w:t xml:space="preserve">Message synchrone  →</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Flèche pleine avec pointe</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L'émetteur ATTEND la réponse avant de continuer. Ex: Patient → App : saisit email. L'app attend que le patient valide.</w:t>
            </w:r>
          </w:p>
        </w:tc>
      </w:tr>
      <w:tr>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D97706"/>
                <w:sz w:val="18"/>
                <w:szCs w:val="18"/>
              </w:rPr>
              <w:t xml:space="preserve">Message asynchrone  →</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Flèche pointillée</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L'émetteur N'ATTEND PAS la réponse. Ex: l'API envoie une tâche à Celery et continue immédiatement sans attendre la fin.</w:t>
            </w:r>
          </w:p>
        </w:tc>
      </w:tr>
      <w:tr>
        <w:tc>
          <w:tcPr>
            <w:tcW w:type="dxa" w:w="2200"/>
            <w:shd w:fill="DCFCE7" w:val="clear"/>
            <w:tcMar>
              <w:top w:type="dxa" w:w="90"/>
              <w:left w:type="dxa" w:w="130"/>
              <w:bottom w:type="dxa" w:w="90"/>
              <w:right w:type="dxa" w:w="130"/>
            </w:tcMar>
            <w:vAlign w:val="center"/>
          </w:tcPr>
          <w:p>
            <w:pPr>
              <w:jc w:val="left"/>
            </w:pPr>
            <w:r>
              <w:rPr>
                <w:rFonts w:ascii="Arial" w:cs="Arial" w:eastAsia="Arial" w:hAnsi="Arial"/>
                <w:b/>
                <w:bCs/>
                <w:color w:val="15803D"/>
                <w:sz w:val="18"/>
                <w:szCs w:val="18"/>
              </w:rPr>
              <w:t xml:space="preserve">Message retour  ← - -</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Flèche pointillée en retour</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Réponse renvoyée à l'appelant. Ex: PostgreSQL → API : retourne les données de l'utilisateur trouvé.</w:t>
            </w:r>
          </w:p>
        </w:tc>
      </w:tr>
      <w:tr>
        <w:tc>
          <w:tcPr>
            <w:tcW w:type="dxa" w:w="2200"/>
            <w:shd w:fill="EDE9FE" w:val="clear"/>
            <w:tcMar>
              <w:top w:type="dxa" w:w="90"/>
              <w:left w:type="dxa" w:w="130"/>
              <w:bottom w:type="dxa" w:w="90"/>
              <w:right w:type="dxa" w:w="130"/>
            </w:tcMar>
            <w:vAlign w:val="center"/>
          </w:tcPr>
          <w:p>
            <w:pPr>
              <w:jc w:val="left"/>
            </w:pPr>
            <w:r>
              <w:rPr>
                <w:rFonts w:ascii="Arial" w:cs="Arial" w:eastAsia="Arial" w:hAnsi="Arial"/>
                <w:b/>
                <w:bCs/>
                <w:color w:val="7C3AED"/>
                <w:sz w:val="18"/>
                <w:szCs w:val="18"/>
              </w:rPr>
              <w:t xml:space="preserve">Fragment [alt]</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Rectangle avec étiquette alt</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Alternative (if/else). Dans Néré : [2FA activé] — le flux emprunte un chemin différent selon que la 2FA est active ou non.</w:t>
            </w:r>
          </w:p>
        </w:tc>
      </w:tr>
      <w:tr>
        <w:tc>
          <w:tcPr>
            <w:tcW w:type="dxa" w:w="2200"/>
            <w:shd w:fill="EDE9FE" w:val="clear"/>
            <w:tcMar>
              <w:top w:type="dxa" w:w="90"/>
              <w:left w:type="dxa" w:w="130"/>
              <w:bottom w:type="dxa" w:w="90"/>
              <w:right w:type="dxa" w:w="130"/>
            </w:tcMar>
            <w:vAlign w:val="center"/>
          </w:tcPr>
          <w:p>
            <w:pPr>
              <w:jc w:val="left"/>
            </w:pPr>
            <w:r>
              <w:rPr>
                <w:rFonts w:ascii="Arial" w:cs="Arial" w:eastAsia="Arial" w:hAnsi="Arial"/>
                <w:b/>
                <w:bCs/>
                <w:color w:val="7C3AED"/>
                <w:sz w:val="18"/>
                <w:szCs w:val="18"/>
              </w:rPr>
              <w:t xml:space="preserve">Fragment [loop]</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Rectangle avec étiquette loop</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Boucle. Dans Néré : [chat IA] — le patient peut envoyer plusieurs messages au chatbot (boucle jusqu'à satisfaction).</w:t>
            </w:r>
          </w:p>
        </w:tc>
      </w:tr>
      <w:tr>
        <w:tc>
          <w:tcPr>
            <w:tcW w:type="dxa" w:w="2200"/>
            <w:shd w:fill="CCFBF1" w:val="clear"/>
            <w:tcMar>
              <w:top w:type="dxa" w:w="90"/>
              <w:left w:type="dxa" w:w="130"/>
              <w:bottom w:type="dxa" w:w="90"/>
              <w:right w:type="dxa" w:w="130"/>
            </w:tcMar>
            <w:vAlign w:val="center"/>
          </w:tcPr>
          <w:p>
            <w:pPr>
              <w:jc w:val="left"/>
            </w:pPr>
            <w:r>
              <w:rPr>
                <w:rFonts w:ascii="Arial" w:cs="Arial" w:eastAsia="Arial" w:hAnsi="Arial"/>
                <w:b/>
                <w:bCs/>
                <w:color w:val="0F766E"/>
                <w:sz w:val="18"/>
                <w:szCs w:val="18"/>
              </w:rPr>
              <w:t xml:space="preserve">Fragment [par]</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Rectangle avec étiquette par</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Parallèle — deux choses se passent EN MÊME TEMPS. Dans Néré : la vidéo WebRTC et la transcription Whisper s'exécutent simultanément.</w:t>
            </w:r>
          </w:p>
        </w:tc>
      </w:tr>
      <w:tr>
        <w:tc>
          <w:tcPr>
            <w:tcW w:type="dxa" w:w="2200"/>
            <w:shd w:fill="CCFBF1" w:val="clear"/>
            <w:tcMar>
              <w:top w:type="dxa" w:w="90"/>
              <w:left w:type="dxa" w:w="130"/>
              <w:bottom w:type="dxa" w:w="90"/>
              <w:right w:type="dxa" w:w="130"/>
            </w:tcMar>
            <w:vAlign w:val="center"/>
          </w:tcPr>
          <w:p>
            <w:pPr>
              <w:jc w:val="left"/>
            </w:pPr>
            <w:r>
              <w:rPr>
                <w:rFonts w:ascii="Arial" w:cs="Arial" w:eastAsia="Arial" w:hAnsi="Arial"/>
                <w:b/>
                <w:bCs/>
                <w:color w:val="0F766E"/>
                <w:sz w:val="18"/>
                <w:szCs w:val="18"/>
              </w:rPr>
              <w:t xml:space="preserve">Fragment [ref]</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Rectangle avec étiquette ref</w:t>
            </w:r>
          </w:p>
        </w:tc>
        <w:tc>
          <w:tcPr>
            <w:tcW w:type="dxa" w:w="46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Référence à un autre diagramme. Dans Néré : [PaymentFlow] indique que le flux de paiement est documenté séparément.</w:t>
            </w:r>
          </w:p>
        </w:tc>
      </w:tr>
    </w:tbl>
    <w:p>
      <w:pPr>
        <w:spacing w:after="200"/>
      </w:pPr>
      <w:r>
        <w:t xml:space="preserve"/>
      </w:r>
    </w:p>
    <w:p>
      <w:pPr>
        <w:pBdr>
          <w:bottom w:val="single" w:color="1D4ED8" w:sz="6" w:space="3"/>
        </w:pBdr>
        <w:spacing w:before="200" w:after="110"/>
      </w:pPr>
      <w:r>
        <w:rPr>
          <w:rFonts w:ascii="Arial" w:cs="Arial" w:eastAsia="Arial" w:hAnsi="Arial"/>
          <w:b/>
          <w:bCs/>
          <w:color w:val="0D2B5E"/>
          <w:sz w:val="23"/>
          <w:szCs w:val="23"/>
        </w:rPr>
        <w:t xml:space="preserve">1.3  Les 8 participants du diagramme Néré</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2200"/>
        <w:gridCol w:w="5026"/>
      </w:tblGrid>
      <w:tr>
        <w:trPr>
          <w:tblHeader/>
        </w:trPr>
        <w:tc>
          <w:tcPr>
            <w:tcW w:type="dxa" w:w="18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Participant</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Technologie</w:t>
            </w:r>
          </w:p>
        </w:tc>
        <w:tc>
          <w:tcPr>
            <w:tcW w:type="dxa" w:w="50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Rôle dans le système</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Patient</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Humain / Navigateur ou App mobile</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L'acteur principal qui initie toutes les interactions : connexion, triage IA, réservation RDV, paiement, téléconsultation.</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React.js (web) / Flutter (mobile)</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Interface utilisateur. Affiche les écrans, collecte les saisies, envoie les requêtes HTTP à l'API et reçoit les réponses.</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Python FastAPI (backend)</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Cerveau du système. Reçoit toutes les requêtes HTTP, applique la logique métier, orchestre les appels à la BDD, au cache, aux services externes.</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PostgreSQL</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PostgreSQL 16 + pgcrypto</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Base de données principale. Stocke toutes les données (utilisateurs, RDV, consultations, paiements). Exécute les triggers automatiques.</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Redis Cache</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Redis 7 (in-memory)</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Cache ultra-rapide. Stocke l'historique des conversations IA, les sessions fréquemment consultées, les données temporaires. Evite les requêtes répétitives à PostgreSQL.</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CinetPay</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CinetPay API (Mobile Money)</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Service de paiement Mobile Money africain. Gère MTN Mobile Money et Orange Money. Communique avec Néré via webhooks sécurisés HMAC-SHA256.</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OpenAI GPT-4o</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OpenAI API + Whisper STT</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Deux rôles : (1) GPT-4o mini pour le chatbot de pré-triage médical. (2) Whisper pour la transcription automatique Speech-to-Text des consultations vidéo.</w:t>
            </w:r>
          </w:p>
        </w:tc>
      </w:tr>
      <w:tr>
        <w:tc>
          <w:tcPr>
            <w:tcW w:type="dxa" w:w="18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Celery Worker</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8"/>
                <w:szCs w:val="18"/>
              </w:rPr>
              <w:t xml:space="preserve">Celery + Redis broker</w:t>
            </w:r>
          </w:p>
        </w:tc>
        <w:tc>
          <w:tcPr>
            <w:tcW w:type="dxa" w:w="50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Gestionnaire de tâches asynchrones. Exécute les opérations longues EN ARRIÈRE-PLAN sans bloquer l'API : envoi de notifications, génération PDF, transcription audio.</w:t>
            </w:r>
          </w:p>
        </w:tc>
      </w:tr>
    </w:tbl>
    <w:p>
      <w:pPr>
        <w:spacing w:after="200"/>
      </w:pPr>
      <w:r>
        <w:t xml:space="preserve"/>
      </w:r>
    </w:p>
    <w:p>
      <w:r>
        <w:br w:type="page"/>
      </w:r>
    </w:p>
    <w:p>
      <w:pPr>
        <w:shd w:fill="0D2B5E" w:val="clear"/>
        <w:spacing w:before="240" w:after="200"/>
      </w:pPr>
      <w:r>
        <w:rPr>
          <w:rFonts w:ascii="Arial" w:cs="Arial" w:eastAsia="Arial" w:hAnsi="Arial"/>
          <w:b/>
          <w:bCs/>
          <w:color w:val="FFFFFF"/>
          <w:sz w:val="30"/>
          <w:szCs w:val="30"/>
        </w:rPr>
        <w:t xml:space="preserve">   SECTION 2 — LE DIAGRAMME DE SÉQUENCE NÉRÉ</w:t>
      </w:r>
    </w:p>
    <w:p>
      <w:pPr>
        <w:spacing w:after="80"/>
      </w:pPr>
      <w:r>
        <w:t xml:space="preserve"/>
      </w:r>
    </w:p>
    <w:p>
      <w:pPr>
        <w:pBdr>
          <w:left w:val="single" w:color="1D4ED8" w:sz="14" w:space="10"/>
        </w:pBdr>
        <w:shd w:fill="DBEAFE" w:val="clear"/>
        <w:spacing w:before="80" w:after="80"/>
        <w:ind w:left="220" w:right="120"/>
      </w:pPr>
      <w:r>
        <w:rPr>
          <w:rFonts w:ascii="Arial" w:cs="Arial" w:eastAsia="Arial" w:hAnsi="Arial"/>
          <w:i/>
          <w:iCs/>
          <w:color w:val="111827"/>
          <w:sz w:val="19"/>
          <w:szCs w:val="19"/>
        </w:rPr>
        <w:t xml:space="preserve">Le diagramme modélise le parcours COMPLET d'un patient : de sa première connexion jusqu'à la réception de son ordonnance après une téléconsultation. Il couvre 4 phases enchaînées, 48 messages numérotés, et implique 8 participants technologiques.</w:t>
      </w:r>
    </w:p>
    <w:p>
      <w:pPr>
        <w:spacing w:after="120"/>
      </w:pPr>
      <w:r>
        <w:t xml:space="preserve"/>
      </w:r>
    </w:p>
    <w:p>
      <w:pPr>
        <w:spacing w:before="120" w:after="80"/>
        <w:jc w:val="center"/>
      </w:pPr>
      <w:r>
        <w:drawing>
          <wp:inline distT="0" distB="0" distL="0" distR="0">
            <wp:extent cx="66675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819150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 1 — Diagramme de Séquence Néré UML 2.5 — 4 phases · 48 messages · 8 participants</w:t>
      </w:r>
    </w:p>
    <w:p>
      <w:pPr>
        <w:spacing w:after="200"/>
      </w:pPr>
      <w:r>
        <w:t xml:space="preserve"/>
      </w:r>
    </w:p>
    <w:p>
      <w:r>
        <w:br w:type="page"/>
      </w:r>
    </w:p>
    <w:p>
      <w:pPr>
        <w:shd w:fill="0D2B5E" w:val="clear"/>
        <w:spacing w:before="240" w:after="200"/>
      </w:pPr>
      <w:r>
        <w:rPr>
          <w:rFonts w:ascii="Arial" w:cs="Arial" w:eastAsia="Arial" w:hAnsi="Arial"/>
          <w:b/>
          <w:bCs/>
          <w:color w:val="FFFFFF"/>
          <w:sz w:val="30"/>
          <w:szCs w:val="30"/>
        </w:rPr>
        <w:t xml:space="preserve">   SECTION 3 — PHASE 1 : AUTHENTIFICATION JWT + 2FA</w:t>
      </w:r>
    </w:p>
    <w:p>
      <w:pPr>
        <w:spacing w:after="80"/>
      </w:pPr>
      <w:r>
        <w:t xml:space="preserve"/>
      </w:r>
    </w:p>
    <w:p>
      <w:pPr>
        <w:spacing w:after="100" w:line="276"/>
        <w:jc w:val="both"/>
      </w:pPr>
      <w:r>
        <w:rPr>
          <w:rFonts w:ascii="Arial" w:cs="Arial" w:eastAsia="Arial" w:hAnsi="Arial"/>
          <w:color w:val="111827"/>
          <w:sz w:val="20"/>
          <w:szCs w:val="20"/>
        </w:rPr>
        <w:t xml:space="preserve">La Phase 1 couvre la connexion sécurisée d'un utilisateur avec le système d'authentification à deux facteurs (2FA TOTP). C'est le flux le plus critique de tout le système car il protège l'accès à l'ensemble des données médicales sensibles. Le fragment UML [alt  2FA activé] indique que ce flux comporte une bifurcation conditionnelle.</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3.1  Pourquoi JWT + 2FA ?</w:t>
      </w:r>
    </w:p>
    <w:p>
      <w:pPr>
        <w:spacing w:after="100" w:line="276"/>
        <w:jc w:val="both"/>
      </w:pPr>
      <w:r>
        <w:rPr>
          <w:rFonts w:ascii="Arial" w:cs="Arial" w:eastAsia="Arial" w:hAnsi="Arial"/>
          <w:color w:val="111827"/>
          <w:sz w:val="20"/>
          <w:szCs w:val="20"/>
        </w:rPr>
        <w:t xml:space="preserve">JWT (JSON Web Token) est un standard industriel pour l'authentification sans état (stateless). Chaque requête porte un token signé qui prouve l'identité de l'utilisateur sans que le serveur ait besoin de consulter la base de données à chaque fois. Le 2FA (Double Authentification) ajoute une couche de sécurité supplémentaire : même si un attaquant vole le mot de passe, il ne peut pas se connecter sans le code TOTP qui change toutes les 30 secondes.</w:t>
      </w:r>
    </w:p>
    <w:p>
      <w:pPr>
        <w:spacing w:after="100" w:line="276"/>
        <w:jc w:val="both"/>
      </w:pPr>
      <w:r>
        <w:rPr>
          <w:rFonts w:ascii="Arial" w:cs="Arial" w:eastAsia="Arial" w:hAnsi="Arial"/>
          <w:color w:val="111827"/>
          <w:sz w:val="20"/>
          <w:szCs w:val="20"/>
        </w:rPr>
        <w:t xml:space="preserve">Dans le contexte de Néré (données médicales sensibles), cette combinaison respecte les recommandations OWASP 2025 et les exigences de sécurité du Ministère de la Santé Publique du Cameroun.</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3.2  Analyse message par message — Phase 1</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500"/>
        <w:gridCol w:w="1600"/>
        <w:gridCol w:w="1600"/>
        <w:gridCol w:w="2200"/>
        <w:gridCol w:w="3126"/>
      </w:tblGrid>
      <w:tr>
        <w:trPr>
          <w:tblHeader/>
        </w:trPr>
        <w:tc>
          <w:tcPr>
            <w:tcW w:type="dxa" w:w="5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 (Émetteur)</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Vers (Récepteur)</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Message / Action</w:t>
            </w:r>
          </w:p>
        </w:tc>
        <w:tc>
          <w:tcPr>
            <w:tcW w:type="dxa" w:w="31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Explication détaillée</w:t>
            </w:r>
          </w:p>
        </w:tc>
      </w:tr>
      <w:tr>
        <w:tc>
          <w:tcPr>
            <w:gridSpan w:val="5"/>
            <w:shd w:fill="0D2B5E" w:val="clear"/>
            <w:tcMar>
              <w:top w:type="dxa" w:w="70"/>
              <w:left w:type="dxa" w:w="180"/>
              <w:bottom w:type="dxa" w:w="70"/>
              <w:right w:type="dxa" w:w="100"/>
            </w:tcMar>
          </w:tcPr>
          <w:p>
            <w:r>
              <w:rPr>
                <w:rFonts w:ascii="Arial" w:cs="Arial" w:eastAsia="Arial" w:hAnsi="Arial"/>
                <w:b/>
                <w:bCs/>
                <w:color w:val="FFFFFF"/>
                <w:sz w:val="20"/>
                <w:szCs w:val="20"/>
              </w:rPr>
              <w:t xml:space="preserve">  ▶  SOUS-PHASE 1A — Saisie et vérification des identifiants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Saisit email + mot de passe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L'utilisateur entre ses identifiants dans le formulaire de connexion. L'App Néré valide d'abord le format côté client (email valide, mot de passe non vide) AVANT d'envoyer au serveur.</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/auth/login {email, mdp}</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L'application envoie une requête HTTP POST chiffrée HTTPS vers l'endpoint /auth/login. Le corps contient l'email et le mot de passe en clair UNIQUEMENT dans le transport chiffré TLS 1.3.</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SELECT user WHERE email=?</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interroge la base de données pour récupérer le compte utilisateur correspondant à cet email. Requête paramétrée (pas de concaténation) pour prévenir les injections SQL.</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données utilisateur</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PostgreSQL retourne l'enregistrement complet de l'utilisateur : id, email, hash du mot de passe, rôle, statut, totp_actif. Retour vide si email inconnu.</w:t>
            </w:r>
          </w:p>
        </w:tc>
      </w:tr>
      <w:tr>
        <w:tc>
          <w:tcPr>
            <w:gridSpan w:val="5"/>
            <w:shd w:fill="1D4ED8" w:val="clear"/>
            <w:tcMar>
              <w:top w:type="dxa" w:w="70"/>
              <w:left w:type="dxa" w:w="180"/>
              <w:bottom w:type="dxa" w:w="70"/>
              <w:right w:type="dxa" w:w="100"/>
            </w:tcMar>
          </w:tcPr>
          <w:p>
            <w:r>
              <w:rPr>
                <w:rFonts w:ascii="Arial" w:cs="Arial" w:eastAsia="Arial" w:hAnsi="Arial"/>
                <w:b/>
                <w:bCs/>
                <w:color w:val="FFFFFF"/>
                <w:sz w:val="20"/>
                <w:szCs w:val="20"/>
              </w:rPr>
              <w:t xml:space="preserve">  ▶  SOUS-PHASE 1B — Vérification du mot de passe (Argon2id)</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Vérifie hash Argon2(mdp, hash_stocké)</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Message RÉFLEXIF (la flèche revient sur le même participant). L'API effectue en interne la vérification : argon2.verify(mot_de_passe_reçu, hash_stocké_en_BDD). Argon2id est l'algorithme de hachage recommandé OWASP 2025 — beaucoup plus sûr que bcrypt ou MD5.</w:t>
            </w:r>
          </w:p>
        </w:tc>
      </w:tr>
      <w:tr>
        <w:tc>
          <w:tcPr>
            <w:gridSpan w:val="5"/>
            <w:shd w:fill="0F766E" w:val="clear"/>
            <w:tcMar>
              <w:top w:type="dxa" w:w="70"/>
              <w:left w:type="dxa" w:w="180"/>
              <w:bottom w:type="dxa" w:w="70"/>
              <w:right w:type="dxa" w:w="100"/>
            </w:tcMar>
          </w:tcPr>
          <w:p>
            <w:r>
              <w:rPr>
                <w:rFonts w:ascii="Arial" w:cs="Arial" w:eastAsia="Arial" w:hAnsi="Arial"/>
                <w:b/>
                <w:bCs/>
                <w:color w:val="FFFFFF"/>
                <w:sz w:val="20"/>
                <w:szCs w:val="20"/>
              </w:rPr>
              <w:t xml:space="preserve">  ▶  SOUS-PHASE 1C — Double Authentification 2FA (si activée)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CCFBF1"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Si totp_actif=TRUE → exige code OTP</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détecte que ce compte a la 2FA activée. Elle ne génère PAS encore de token JWT. Elle retourne un statut intermédiaire 'mfa_required' qui demande le code TOTP.</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Affiche champ saisie code 6 chiffres</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L'interface affiche un champ de saisie pour le code à 6 chiffres. Le patient ouvre son application Google Authenticator ou Microsoft Authenticator sur son smartphone.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Saisie code TOTP (Google Authenticator)</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patient saisit le code TOTP à 6 chiffres qui change toutes les 30 secondes. Ce code est généré par l'application d'authentification à partir de la clé secrète partagée lors de l'activation de la 2FA.</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/auth/verify-2fa {code}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envoie le code TOTP à l'API pour vérification.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pyotp.TOTP(secret).verify(code)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Vérification TOTP en interne. La bibliothèque Python pyotp calcule le code attendu à partir du secret TOTP (stocké chiffré AES-256 en base) et compare avec le code reçu. Fenêtre de tolérance de ±30 secondes pour compenser le décalage d'horloge.</w:t>
            </w:r>
          </w:p>
        </w:tc>
      </w:tr>
      <w:tr>
        <w:tc>
          <w:tcPr>
            <w:gridSpan w:val="5"/>
            <w:shd w:fill="15803D" w:val="clear"/>
            <w:tcMar>
              <w:top w:type="dxa" w:w="70"/>
              <w:left w:type="dxa" w:w="180"/>
              <w:bottom w:type="dxa" w:w="70"/>
              <w:right w:type="dxa" w:w="100"/>
            </w:tcMar>
          </w:tcPr>
          <w:p>
            <w:r>
              <w:rPr>
                <w:rFonts w:ascii="Arial" w:cs="Arial" w:eastAsia="Arial" w:hAnsi="Arial"/>
                <w:b/>
                <w:bCs/>
                <w:color w:val="FFFFFF"/>
                <w:sz w:val="20"/>
                <w:szCs w:val="20"/>
              </w:rPr>
              <w:t xml:space="preserve">  ▶  SOUS-PHASE 1D — Génération des tokens et création de session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Génère access_token JWT (15 min)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génère un access_token JWT signé avec HMAC-SHA256. Ce token a une durée de vie courte (15 minutes) pour limiter l'exposition en cas d'interception.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Génère refresh_token (7 jours)</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génère un refresh_token de longue durée (7 jours). Ce token permet de renouveler le access_token sans que l'utilisateur ait à se reconnecter.</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INTO sessions (token_hash, ip)</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 session est enregistrée en base. Le refresh_token est stocké HASHÉ (SHA-256), jamais en clair. L'IP et le user-agent sont enregistrés pour la détection d'anomalies.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INTO audit_logs (connexion)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Trace de sécurité immuable : qui s'est connecté, depuis quelle IP, à quelle heure. Visible uniquement par les administrateurs.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{access_token, refresh_token}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retourne les deux tokens. L'App les stocke EN MÉMOIRE VIVE (jamais dans localStorage qui est vulnérable aux attaques XSS).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Stocke tokens en mémoire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Les tokens sont stockés dans l'état React (Zustand) ou le provider Flutter — volatils, effacés à la fermeture de l'application. Sécurité maximale.</w:t>
            </w:r>
          </w:p>
        </w:tc>
      </w:tr>
    </w:tbl>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3.3  Points de sécurité critiques de la Phase 1</w:t>
      </w:r>
    </w:p>
    <w:p>
      <w:pPr>
        <w:pStyle w:val="ListParagraph"/>
        <w:numPr>
          <w:ilvl w:val="0"/>
          <w:numId w:val="2"/>
        </w:numPr>
        <w:spacing w:after="80"/>
      </w:pPr>
      <w:r>
        <w:rPr>
          <w:rFonts w:ascii="Arial" w:cs="Arial" w:eastAsia="Arial" w:hAnsi="Arial"/>
          <w:color w:val="111827"/>
          <w:sz w:val="20"/>
          <w:szCs w:val="20"/>
        </w:rPr>
        <w:t xml:space="preserve">Argon2id : algorithme de hachage recommandé OWASP. Résistant aux attaques GPU et ASIC. Beaucoup plus sûr que MD5, SHA-1 ou même bcrypt.</w:t>
      </w:r>
    </w:p>
    <w:p>
      <w:pPr>
        <w:pStyle w:val="ListParagraph"/>
        <w:numPr>
          <w:ilvl w:val="0"/>
          <w:numId w:val="2"/>
        </w:numPr>
        <w:spacing w:after="80"/>
      </w:pPr>
      <w:r>
        <w:rPr>
          <w:rFonts w:ascii="Arial" w:cs="Arial" w:eastAsia="Arial" w:hAnsi="Arial"/>
          <w:color w:val="111827"/>
          <w:sz w:val="20"/>
          <w:szCs w:val="20"/>
        </w:rPr>
        <w:t xml:space="preserve">TOTP : le code change toutes les 30 secondes. Impossible à rejouer après expiration. Aucune infrastructure serveur nécessaire côté client.</w:t>
      </w:r>
    </w:p>
    <w:p>
      <w:pPr>
        <w:pStyle w:val="ListParagraph"/>
        <w:numPr>
          <w:ilvl w:val="0"/>
          <w:numId w:val="2"/>
        </w:numPr>
        <w:spacing w:after="80"/>
      </w:pPr>
      <w:r>
        <w:rPr>
          <w:rFonts w:ascii="Arial" w:cs="Arial" w:eastAsia="Arial" w:hAnsi="Arial"/>
          <w:color w:val="111827"/>
          <w:sz w:val="20"/>
          <w:szCs w:val="20"/>
        </w:rPr>
        <w:t xml:space="preserve">Tokens courts : access_token de 15 minutes seulement. Un attaquant qui intercepte un token ne l'a que 15 minutes maximum.</w:t>
      </w:r>
    </w:p>
    <w:p>
      <w:pPr>
        <w:pStyle w:val="ListParagraph"/>
        <w:numPr>
          <w:ilvl w:val="0"/>
          <w:numId w:val="2"/>
        </w:numPr>
        <w:spacing w:after="80"/>
      </w:pPr>
      <w:r>
        <w:rPr>
          <w:rFonts w:ascii="Arial" w:cs="Arial" w:eastAsia="Arial" w:hAnsi="Arial"/>
          <w:color w:val="111827"/>
          <w:sz w:val="20"/>
          <w:szCs w:val="20"/>
        </w:rPr>
        <w:t xml:space="preserve">Hash du refresh_token : même si la base de données est compromise, les tokens ne sont pas lisibles directement.</w:t>
      </w:r>
    </w:p>
    <w:p>
      <w:pPr>
        <w:pStyle w:val="ListParagraph"/>
        <w:numPr>
          <w:ilvl w:val="0"/>
          <w:numId w:val="2"/>
        </w:numPr>
        <w:spacing w:after="80"/>
      </w:pPr>
      <w:r>
        <w:rPr>
          <w:rFonts w:ascii="Arial" w:cs="Arial" w:eastAsia="Arial" w:hAnsi="Arial"/>
          <w:color w:val="111827"/>
          <w:sz w:val="20"/>
          <w:szCs w:val="20"/>
        </w:rPr>
        <w:t xml:space="preserve">Audit log immuable : toute connexion est tracée. Détection d'anomalies possible (connexions inhabituelles, IP inconnues).</w:t>
      </w:r>
    </w:p>
    <w:p>
      <w:pPr>
        <w:spacing w:after="200"/>
      </w:pPr>
      <w:r>
        <w:t xml:space="preserve"/>
      </w:r>
    </w:p>
    <w:p>
      <w:r>
        <w:br w:type="page"/>
      </w:r>
    </w:p>
    <w:p>
      <w:pPr>
        <w:shd w:fill="7C3AED" w:val="clear"/>
        <w:spacing w:before="240" w:after="200"/>
      </w:pPr>
      <w:r>
        <w:rPr>
          <w:rFonts w:ascii="Arial" w:cs="Arial" w:eastAsia="Arial" w:hAnsi="Arial"/>
          <w:b/>
          <w:bCs/>
          <w:color w:val="FFFFFF"/>
          <w:sz w:val="30"/>
          <w:szCs w:val="30"/>
        </w:rPr>
        <w:t xml:space="preserve">   SECTION 4 — PHASE 2 : PRÉ-TRIAGE IA (GPT-4o mini)</w:t>
      </w:r>
    </w:p>
    <w:p>
      <w:pPr>
        <w:spacing w:after="80"/>
      </w:pPr>
      <w:r>
        <w:t xml:space="preserve"/>
      </w:r>
    </w:p>
    <w:p>
      <w:pPr>
        <w:spacing w:after="100" w:line="276"/>
        <w:jc w:val="both"/>
      </w:pPr>
      <w:r>
        <w:rPr>
          <w:rFonts w:ascii="Arial" w:cs="Arial" w:eastAsia="Arial" w:hAnsi="Arial"/>
          <w:color w:val="111827"/>
          <w:sz w:val="20"/>
          <w:szCs w:val="20"/>
        </w:rPr>
        <w:t xml:space="preserve">La Phase 2 modélise le chatbot de pré-triage médical alimenté par GPT-4o mini. Le patient décrit ses symptômes en langage naturel. L'IA analyse le contexte médical, évalue le niveau d'urgence et suggère la spécialité médicale la plus adaptée. Le fragment UML [loop  chat IA] indique que cet échange peut se répéter plusieurs fois (le patient peut poser plusieurs questions).</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4.1  Pourquoi un pré-triage par IA ?</w:t>
      </w:r>
    </w:p>
    <w:p>
      <w:pPr>
        <w:spacing w:after="100" w:line="276"/>
        <w:jc w:val="both"/>
      </w:pPr>
      <w:r>
        <w:rPr>
          <w:rFonts w:ascii="Arial" w:cs="Arial" w:eastAsia="Arial" w:hAnsi="Arial"/>
          <w:color w:val="111827"/>
          <w:sz w:val="20"/>
          <w:szCs w:val="20"/>
        </w:rPr>
        <w:t xml:space="preserve">Dans les systèmes de santé numériques comme Doctolib ou Qare, le pré-triage permet d'orienter le patient vers la bonne spécialité AVANT la réservation. Sans ce mécanisme, un patient avec des douleurs thoraciques pourrait réserver chez un médecin généraliste alors qu'il devrait voir un cardiologue d'urgence. Néré va plus loin en évaluant aussi le niveau d'urgence : si l'IA détecte une urgence vitale, elle ne propose pas de RDV mais déclenche une alerte immédiate pour appeler les secours.</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4.2  Analyse message par message — Phase 2</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500"/>
        <w:gridCol w:w="1600"/>
        <w:gridCol w:w="1600"/>
        <w:gridCol w:w="2200"/>
        <w:gridCol w:w="3126"/>
      </w:tblGrid>
      <w:tr>
        <w:trPr>
          <w:tblHeader/>
        </w:trPr>
        <w:tc>
          <w:tcPr>
            <w:tcW w:type="dxa" w:w="5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 (Émetteur)</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Vers (Récepteur)</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Message / Action</w:t>
            </w:r>
          </w:p>
        </w:tc>
        <w:tc>
          <w:tcPr>
            <w:tcW w:type="dxa" w:w="31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Explication détaillée</w:t>
            </w:r>
          </w:p>
        </w:tc>
      </w:tr>
      <w:tr>
        <w:tc>
          <w:tcPr>
            <w:gridSpan w:val="5"/>
            <w:shd w:fill="7C3AED" w:val="clear"/>
            <w:tcMar>
              <w:top w:type="dxa" w:w="70"/>
              <w:left w:type="dxa" w:w="180"/>
              <w:bottom w:type="dxa" w:w="70"/>
              <w:right w:type="dxa" w:w="100"/>
            </w:tcMar>
          </w:tcPr>
          <w:p>
            <w:r>
              <w:rPr>
                <w:rFonts w:ascii="Arial" w:cs="Arial" w:eastAsia="Arial" w:hAnsi="Arial"/>
                <w:b/>
                <w:bCs/>
                <w:color w:val="FFFFFF"/>
                <w:sz w:val="20"/>
                <w:szCs w:val="20"/>
              </w:rPr>
              <w:t xml:space="preserve">  ▶  SOUS-PHASE 2A — Interaction avec le chatbot</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Décrit symptômes au chatbot</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patient saisit ses symptômes en langue naturelle dans l'interface du chatbot. Ex: 'J'ai de fortes douleurs à la poitrine depuis ce matin avec des difficultés à respirer.'</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/ia/chatbot {message}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envoie le message à l'API avec l'identifiant de session du chatbot pour maintenir le contexte de la conversation.</w:t>
            </w:r>
          </w:p>
        </w:tc>
      </w:tr>
      <w:tr>
        <w:tc>
          <w:tcPr>
            <w:gridSpan w:val="5"/>
            <w:shd w:fill="D97706" w:val="clear"/>
            <w:tcMar>
              <w:top w:type="dxa" w:w="70"/>
              <w:left w:type="dxa" w:w="180"/>
              <w:bottom w:type="dxa" w:w="70"/>
              <w:right w:type="dxa" w:w="100"/>
            </w:tcMar>
          </w:tcPr>
          <w:p>
            <w:r>
              <w:rPr>
                <w:rFonts w:ascii="Arial" w:cs="Arial" w:eastAsia="Arial" w:hAnsi="Arial"/>
                <w:b/>
                <w:bCs/>
                <w:color w:val="FFFFFF"/>
                <w:sz w:val="20"/>
                <w:szCs w:val="20"/>
              </w:rPr>
              <w:t xml:space="preserve">  ▶  SOUS-PHASE 2B — Récupération du contexte depuis Redis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19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Redis Cache</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GET session_historique FROM cache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récupère l'historique de la conversation depuis Redis (pas PostgreSQL). Redis répond en &lt; 1ms car tout est en mémoire vive. Cela permet à l'IA de se souvenir des échanges précédents dans la même session.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Redis Cache</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historique JSON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Redis retourne l'historique JSON des messages précédents. Format: [{role:'user', content:'...'}, {role:'assistant', content:'...'}]</w:t>
            </w:r>
          </w:p>
        </w:tc>
      </w:tr>
      <w:tr>
        <w:tc>
          <w:tcPr>
            <w:gridSpan w:val="5"/>
            <w:shd w:fill="7C3AED" w:val="clear"/>
            <w:tcMar>
              <w:top w:type="dxa" w:w="70"/>
              <w:left w:type="dxa" w:w="180"/>
              <w:bottom w:type="dxa" w:w="70"/>
              <w:right w:type="dxa" w:w="100"/>
            </w:tcMar>
          </w:tcPr>
          <w:p>
            <w:r>
              <w:rPr>
                <w:rFonts w:ascii="Arial" w:cs="Arial" w:eastAsia="Arial" w:hAnsi="Arial"/>
                <w:b/>
                <w:bCs/>
                <w:color w:val="FFFFFF"/>
                <w:sz w:val="20"/>
                <w:szCs w:val="20"/>
              </w:rPr>
              <w:t xml:space="preserve">  ▶  SOUS-PHASE 2C — Appel à l'API OpenAI</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OpenAI API</w:t>
            </w:r>
          </w:p>
        </w:tc>
        <w:tc>
          <w:tcPr>
            <w:tcW w:type="dxa" w:w="2200"/>
            <w:shd w:fill="EDE9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OpenAI /chat/completions {gpt-4o-mini}</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construit le prompt complet : system_prompt médical (qui définit le rôle de l'IA comme assistant de triage) + historique de la conversation + nouveau message. Ce prompt est envoyé à OpenAI via HTTPS.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OpenAI 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réponse IA + spécialité + urgence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GPT-4o mini retourne : (1) une réponse en langage naturel pour le patient, (2) la spécialité suggérée en JSON structuré, (3) le niveau d'urgence : faible | modéré | élevé | urgence_vitale.</w:t>
            </w:r>
          </w:p>
        </w:tc>
      </w:tr>
      <w:tr>
        <w:tc>
          <w:tcPr>
            <w:gridSpan w:val="5"/>
            <w:shd w:fill="0F766E" w:val="clear"/>
            <w:tcMar>
              <w:top w:type="dxa" w:w="70"/>
              <w:left w:type="dxa" w:w="180"/>
              <w:bottom w:type="dxa" w:w="70"/>
              <w:right w:type="dxa" w:w="100"/>
            </w:tcMar>
          </w:tcPr>
          <w:p>
            <w:r>
              <w:rPr>
                <w:rFonts w:ascii="Arial" w:cs="Arial" w:eastAsia="Arial" w:hAnsi="Arial"/>
                <w:b/>
                <w:bCs/>
                <w:color w:val="FFFFFF"/>
                <w:sz w:val="20"/>
                <w:szCs w:val="20"/>
              </w:rPr>
              <w:t xml:space="preserve">  ▶  SOUS-PHASE 2D — Traitement et réponse au patient</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Parse réponse : spécialité, urgence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analyse la réponse JSON de l'IA pour extraire les données structurées. Si niveau_urgence = 'urgence_vitale' → chemin d'urgence : affichage immédiat 'Appelez le 15 maintenant'.</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UPDATE chatbot_sessions (messages, spécialité)</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met à jour la session chatbot en base : historique des messages, spécialité détectée, niveau d'urgence, tokens consommés pour le suivi budgétaire.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réponse + suggestion + bouton RDV</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retourne : la réponse textuelle de l'IA, la spécialité suggérée, le niveau d'urgence, et un indicateur 'proposer_rdv' qui déclenche l'affichage du bouton 'Prendre un RDV avec un [spécialité]'.</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Affiche réponse + bouton 'Prendre RDV'</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L'interface affiche la réponse de l'IA et le bouton d'action. Si le patient clique, il est redirigé vers le flux de prise de RDV (Phase 3) avec la spécialité pré-sélectionnée.</w:t>
            </w:r>
          </w:p>
        </w:tc>
      </w:tr>
    </w:tbl>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4.3  Architecture technique du chatbot médical</w:t>
      </w:r>
    </w:p>
    <w:p>
      <w:pPr>
        <w:spacing w:after="100" w:line="276"/>
        <w:jc w:val="both"/>
      </w:pPr>
      <w:r>
        <w:rPr>
          <w:rFonts w:ascii="Arial" w:cs="Arial" w:eastAsia="Arial" w:hAnsi="Arial"/>
          <w:color w:val="111827"/>
          <w:sz w:val="20"/>
          <w:szCs w:val="20"/>
        </w:rPr>
        <w:t xml:space="preserve">Le chatbot de Néré n'est pas un simple chatbot généraliste — il est configuré avec un system_prompt médical spécialisé qui lui donne des instructions précises sur son rôle, ses limites éthiques (ne jamais poser de diagnostic, uniquement orienter) et le format de réponse attendu (JSON structuré + texte pour le patient).</w:t>
      </w:r>
    </w:p>
    <w:p>
      <w:pPr>
        <w:spacing w:after="80"/>
      </w:pPr>
      <w:r>
        <w:t xml:space="preserve"/>
      </w:r>
    </w:p>
    <w:p>
      <w:pPr>
        <w:pBdr>
          <w:left w:val="single" w:color="1D4ED8" w:sz="14" w:space="10"/>
        </w:pBdr>
        <w:shd w:fill="DBEAFE" w:val="clear"/>
        <w:spacing w:before="80" w:after="80"/>
        <w:ind w:left="220" w:right="120"/>
      </w:pPr>
      <w:r>
        <w:rPr>
          <w:rFonts w:ascii="Arial" w:cs="Arial" w:eastAsia="Arial" w:hAnsi="Arial"/>
          <w:i/>
          <w:iCs/>
          <w:color w:val="111827"/>
          <w:sz w:val="19"/>
          <w:szCs w:val="19"/>
        </w:rPr>
        <w:t xml:space="preserve">Principe éthique fondamental : le chatbot de Néré ne pose JAMAIS de diagnostic médical. Il oriente uniquement le patient vers la spécialité la plus adaptée. La décision médicale reste exclusivement du ressort du médecin.</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GPT-4o mini est utilisé en Phase 1 (V1) pour son coût très bas (~0.15$/1M tokens) et sa rapidité.</w:t>
      </w:r>
    </w:p>
    <w:p>
      <w:pPr>
        <w:pStyle w:val="ListParagraph"/>
        <w:numPr>
          <w:ilvl w:val="0"/>
          <w:numId w:val="2"/>
        </w:numPr>
        <w:spacing w:after="80"/>
      </w:pPr>
      <w:r>
        <w:rPr>
          <w:rFonts w:ascii="Arial" w:cs="Arial" w:eastAsia="Arial" w:hAnsi="Arial"/>
          <w:color w:val="111827"/>
          <w:sz w:val="20"/>
          <w:szCs w:val="20"/>
        </w:rPr>
        <w:t xml:space="preserve">Redis cache l'historique des conversations pour éviter de recharger depuis PostgreSQL à chaque message.</w:t>
      </w:r>
    </w:p>
    <w:p>
      <w:pPr>
        <w:pStyle w:val="ListParagraph"/>
        <w:numPr>
          <w:ilvl w:val="0"/>
          <w:numId w:val="2"/>
        </w:numPr>
        <w:spacing w:after="80"/>
      </w:pPr>
      <w:r>
        <w:rPr>
          <w:rFonts w:ascii="Arial" w:cs="Arial" w:eastAsia="Arial" w:hAnsi="Arial"/>
          <w:color w:val="111827"/>
          <w:sz w:val="20"/>
          <w:szCs w:val="20"/>
        </w:rPr>
        <w:t xml:space="preserve">Whisper (OpenAI) sera utilisé en Phase 2 (V2) pour la transcription des consultations vidéo.</w:t>
      </w:r>
    </w:p>
    <w:p>
      <w:pPr>
        <w:pStyle w:val="ListParagraph"/>
        <w:numPr>
          <w:ilvl w:val="0"/>
          <w:numId w:val="2"/>
        </w:numPr>
        <w:spacing w:after="80"/>
      </w:pPr>
      <w:r>
        <w:rPr>
          <w:rFonts w:ascii="Arial" w:cs="Arial" w:eastAsia="Arial" w:hAnsi="Arial"/>
          <w:color w:val="111827"/>
          <w:sz w:val="20"/>
          <w:szCs w:val="20"/>
        </w:rPr>
        <w:t xml:space="preserve">La session chatbot enregistre le coût estimé en USD pour le suivi budgétaire des appels OpenAI.</w:t>
      </w:r>
    </w:p>
    <w:p>
      <w:pPr>
        <w:spacing w:after="200"/>
      </w:pPr>
      <w:r>
        <w:t xml:space="preserve"/>
      </w:r>
    </w:p>
    <w:p>
      <w:r>
        <w:br w:type="page"/>
      </w:r>
    </w:p>
    <w:p>
      <w:pPr>
        <w:shd w:fill="15803D" w:val="clear"/>
        <w:spacing w:before="240" w:after="200"/>
      </w:pPr>
      <w:r>
        <w:rPr>
          <w:rFonts w:ascii="Arial" w:cs="Arial" w:eastAsia="Arial" w:hAnsi="Arial"/>
          <w:b/>
          <w:bCs/>
          <w:color w:val="FFFFFF"/>
          <w:sz w:val="30"/>
          <w:szCs w:val="30"/>
        </w:rPr>
        <w:t xml:space="preserve">   SECTION 5 — PHASE 3 : PRISE DE RDV &amp; PAIEMENT MOBILE MONEY</w:t>
      </w:r>
    </w:p>
    <w:p>
      <w:pPr>
        <w:spacing w:after="80"/>
      </w:pPr>
      <w:r>
        <w:t xml:space="preserve"/>
      </w:r>
    </w:p>
    <w:p>
      <w:pPr>
        <w:spacing w:after="100" w:line="276"/>
        <w:jc w:val="both"/>
      </w:pPr>
      <w:r>
        <w:rPr>
          <w:rFonts w:ascii="Arial" w:cs="Arial" w:eastAsia="Arial" w:hAnsi="Arial"/>
          <w:color w:val="111827"/>
          <w:sz w:val="20"/>
          <w:szCs w:val="20"/>
        </w:rPr>
        <w:t xml:space="preserve">La Phase 3 est le cœur économique de la plateforme. Elle couvre la réservation d'un rendez-vous et le paiement via CinetPay (MTN Mobile Money, Orange Money). Le fragment UML [ref  PaymentFlow] indique que ce flux complet est référencé comme une séquence indépendante. L'étape critique est la confirmation du paiement via webhook sécurisé.</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5.1  Qu'est-ce qu'un webhook de paiement ?</w:t>
      </w:r>
    </w:p>
    <w:p>
      <w:pPr>
        <w:spacing w:after="100" w:line="276"/>
        <w:jc w:val="both"/>
      </w:pPr>
      <w:r>
        <w:rPr>
          <w:rFonts w:ascii="Arial" w:cs="Arial" w:eastAsia="Arial" w:hAnsi="Arial"/>
          <w:color w:val="111827"/>
          <w:sz w:val="20"/>
          <w:szCs w:val="20"/>
        </w:rPr>
        <w:t xml:space="preserve">Un webhook est un mécanisme où le serveur externe (CinetPay) appelle notre API dès qu'un événement se produit (paiement confirmé par le client). C'est l'inverse d'un appel API classique : au lieu que Néré interroge CinetPay pour savoir si le paiement est confirmé (polling), c'est CinetPay qui notifie Néré automatiquement. Le webhook contient une signature HMAC-SHA256 que l'API Néré vérifie pour s'assurer que l'appel provient bien de CinetPay et non d'un attaquant qui tenterait de confirmer un paiement frauduleux.</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5.2  Analyse message par message — Phase 3</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500"/>
        <w:gridCol w:w="1600"/>
        <w:gridCol w:w="1600"/>
        <w:gridCol w:w="2200"/>
        <w:gridCol w:w="3126"/>
      </w:tblGrid>
      <w:tr>
        <w:trPr>
          <w:tblHeader/>
        </w:trPr>
        <w:tc>
          <w:tcPr>
            <w:tcW w:type="dxa" w:w="5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 (Émetteur)</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Vers (Récepteur)</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Message / Action</w:t>
            </w:r>
          </w:p>
        </w:tc>
        <w:tc>
          <w:tcPr>
            <w:tcW w:type="dxa" w:w="31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Explication détaillée</w:t>
            </w:r>
          </w:p>
        </w:tc>
      </w:tr>
      <w:tr>
        <w:tc>
          <w:tcPr>
            <w:gridSpan w:val="5"/>
            <w:shd w:fill="0F766E" w:val="clear"/>
            <w:tcMar>
              <w:top w:type="dxa" w:w="70"/>
              <w:left w:type="dxa" w:w="180"/>
              <w:bottom w:type="dxa" w:w="70"/>
              <w:right w:type="dxa" w:w="100"/>
            </w:tcMar>
          </w:tcPr>
          <w:p>
            <w:r>
              <w:rPr>
                <w:rFonts w:ascii="Arial" w:cs="Arial" w:eastAsia="Arial" w:hAnsi="Arial"/>
                <w:b/>
                <w:bCs/>
                <w:color w:val="FFFFFF"/>
                <w:sz w:val="20"/>
                <w:szCs w:val="20"/>
              </w:rPr>
              <w:t xml:space="preserve">  ▶  SOUS-PHASE 3A — Sélection du médecin et du créneau</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Sélectionne médecin + créneau</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patient sélectionne un médecin (filtré par spécialité suggérée par l'IA) et un créneau de disponibilité. L'App affiche les créneaux libres calculés depuis la table disponibilites.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/rdv {medecin_id, creneau, type, motif}</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envoie la demande de RDV avec : l'ID du médecin, le créneau choisi, le type de consultation (presentiel/video), et le motif de consultation.</w:t>
            </w:r>
          </w:p>
        </w:tc>
      </w:tr>
      <w:tr>
        <w:tc>
          <w:tcPr>
            <w:gridSpan w:val="5"/>
            <w:shd w:fill="D97706" w:val="clear"/>
            <w:tcMar>
              <w:top w:type="dxa" w:w="70"/>
              <w:left w:type="dxa" w:w="180"/>
              <w:bottom w:type="dxa" w:w="70"/>
              <w:right w:type="dxa" w:w="100"/>
            </w:tcMar>
          </w:tcPr>
          <w:p>
            <w:r>
              <w:rPr>
                <w:rFonts w:ascii="Arial" w:cs="Arial" w:eastAsia="Arial" w:hAnsi="Arial"/>
                <w:b/>
                <w:bCs/>
                <w:color w:val="FFFFFF"/>
                <w:sz w:val="20"/>
                <w:szCs w:val="20"/>
              </w:rPr>
              <w:t xml:space="preserve">  ▶  SOUS-PHASE 3B — Vérification anti-double-réservation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29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SELECT FOR UPDATE — vérifie disponibilité</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CRITIQUE : SELECT FOR UPDATE pose un verrou transactionnel sur l'enregistrement. Cela empêche deux patients de réserver exactement le même créneau simultanément (race condition). Sans ce verrou, deux patients pourraient valider en même temps et créer un conflit d'agenda.</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Créneau disponible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PostgreSQL confirme que le créneau est libre. Si le créneau est déjà pris (pris entre le SELECT et la validation), PostgreSQL retournera une erreur de contrainte UNIQUE et le patient sera informé.</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rendez_vous (statut=en_attente)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RDV est créé avec le statut 'en_attente' — il n'est pas encore confirmé tant que le paiement n'est pas validé. Un numéro lisible NER-RDV-2025-XXXXXX est généré automatiquement par trigger.</w:t>
            </w:r>
          </w:p>
        </w:tc>
      </w:tr>
      <w:tr>
        <w:tc>
          <w:tcPr>
            <w:gridSpan w:val="5"/>
            <w:shd w:fill="15803D" w:val="clear"/>
            <w:tcMar>
              <w:top w:type="dxa" w:w="70"/>
              <w:left w:type="dxa" w:w="180"/>
              <w:bottom w:type="dxa" w:w="70"/>
              <w:right w:type="dxa" w:w="100"/>
            </w:tcMar>
          </w:tcPr>
          <w:p>
            <w:r>
              <w:rPr>
                <w:rFonts w:ascii="Arial" w:cs="Arial" w:eastAsia="Arial" w:hAnsi="Arial"/>
                <w:b/>
                <w:bCs/>
                <w:color w:val="FFFFFF"/>
                <w:sz w:val="20"/>
                <w:szCs w:val="20"/>
              </w:rPr>
              <w:t xml:space="preserve">  ▶  SOUS-PHASE 3C — Initialisation du paiement CinetPay</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CinetPay</w:t>
            </w:r>
          </w:p>
        </w:tc>
        <w:tc>
          <w:tcPr>
            <w:tcW w:type="dxa" w:w="2200"/>
            <w:shd w:fill="DCFCE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CinetPay /payment/init {montant, ref}</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appelle l'API CinetPay pour créer une session de paiement. Elle envoie : le montant, la référence unique du paiement (NER-PAY-2025-XXXXXX), la méthode (MTN MoMo ou Orange Money), et l'URL de callback.</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CinetPay</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{payment_url, transaction_id}</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CinetPay retourne : l'URL de la page de paiement où le patient sera redirigé, et l'ID de la transaction CinetPay pour le rapprochement ultérieur.</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paiements (statut=initie)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paiement est enregistré en base avec statut 'initie' et la référence CinetPay. La commision Néré (10%) et le montant médecin sont calculés automatiquement par trigger.</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payment_url</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retourne l'URL de paiement CinetPay à l'App.</w:t>
            </w:r>
          </w:p>
        </w:tc>
      </w:tr>
      <w:tr>
        <w:tc>
          <w:tcPr>
            <w:gridSpan w:val="5"/>
            <w:shd w:fill="1D4ED8" w:val="clear"/>
            <w:tcMar>
              <w:top w:type="dxa" w:w="70"/>
              <w:left w:type="dxa" w:w="180"/>
              <w:bottom w:type="dxa" w:w="70"/>
              <w:right w:type="dxa" w:w="100"/>
            </w:tcMar>
          </w:tcPr>
          <w:p>
            <w:r>
              <w:rPr>
                <w:rFonts w:ascii="Arial" w:cs="Arial" w:eastAsia="Arial" w:hAnsi="Arial"/>
                <w:b/>
                <w:bCs/>
                <w:color w:val="FFFFFF"/>
                <w:sz w:val="20"/>
                <w:szCs w:val="20"/>
              </w:rPr>
              <w:t xml:space="preserve">  ▶  SOUS-PHASE 3D — Paiement et confirmation webhook</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CinetPay</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Confirme paiement MTN Mobile Money</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patient est redirigé vers la page CinetPay sur son téléphone. Il confirme le paiement Mobile Money (MTN ou Orange) avec son code PIN. CinetPay gère la sécurité de cette étape.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CinetPay</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CFCE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webhook /webhooks/cinetpay</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Dès que le paiement est confirmé, CinetPay envoie automatiquement un webhook POST à l'URL Néré avec les détails de la transaction et une signature HMAC-SHA256.</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Vérifie signature webhook HMAC-SHA256</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SÉCURITÉ CRITIQUE : l'API vérifie que la signature du webhook correspond au hash HMAC-SHA256 calculé avec la clé secrète partagée avec CinetPay. Si la signature est invalide → le webhook est rejeté (tentative de fraude).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39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UPDATE paiements SET statut=confirme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paiement est marqué 'confirme'. Le RDV passe à 'confirme'. Le médecin est maintenant attendu.</w:t>
            </w:r>
          </w:p>
        </w:tc>
      </w:tr>
      <w:tr>
        <w:tc>
          <w:tcPr>
            <w:gridSpan w:val="5"/>
            <w:shd w:fill="D97706" w:val="clear"/>
            <w:tcMar>
              <w:top w:type="dxa" w:w="70"/>
              <w:left w:type="dxa" w:w="180"/>
              <w:bottom w:type="dxa" w:w="70"/>
              <w:right w:type="dxa" w:w="100"/>
            </w:tcMar>
          </w:tcPr>
          <w:p>
            <w:r>
              <w:rPr>
                <w:rFonts w:ascii="Arial" w:cs="Arial" w:eastAsia="Arial" w:hAnsi="Arial"/>
                <w:b/>
                <w:bCs/>
                <w:color w:val="FFFFFF"/>
                <w:sz w:val="20"/>
                <w:szCs w:val="20"/>
              </w:rPr>
              <w:t xml:space="preserve">  ▶  SOUS-PHASE 3E — Notifications asynchrones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Celery Worker</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Celery: envoyer notifications (async)</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Message ASYNCHRONE : l'API envoie la tâche d'envoi de notifications à Celery et RETOURNE IMMÉDIATEMENT la réponse au patient sans attendre l'envoi. Celery s'en charge en arrière-plan.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Celery</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Push + SMS : RDV confirmé</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Celery envoie : push mobile + SMS au patient (confirmation RDV + rappel J-1 et H-1 programmés).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Celery</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Médecin</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Push + email : Nouveau RDV</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Celery notifie le médecin du nouveau RDV avec le nom du patient, la date, l'heure et le motif.</w:t>
            </w:r>
          </w:p>
        </w:tc>
      </w:tr>
    </w:tbl>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5.3  Points techniques clés de la Phase 3</w:t>
      </w:r>
    </w:p>
    <w:p>
      <w:pPr>
        <w:pStyle w:val="ListParagraph"/>
        <w:numPr>
          <w:ilvl w:val="0"/>
          <w:numId w:val="2"/>
        </w:numPr>
        <w:spacing w:after="80"/>
      </w:pPr>
      <w:r>
        <w:rPr>
          <w:rFonts w:ascii="Arial" w:cs="Arial" w:eastAsia="Arial" w:hAnsi="Arial"/>
          <w:color w:val="111827"/>
          <w:sz w:val="20"/>
          <w:szCs w:val="20"/>
        </w:rPr>
        <w:t xml:space="preserve">SELECT FOR UPDATE : verrou pessimiste qui empêche les double-réservations en base de données, indépendamment du code applicatif.</w:t>
      </w:r>
    </w:p>
    <w:p>
      <w:pPr>
        <w:pStyle w:val="ListParagraph"/>
        <w:numPr>
          <w:ilvl w:val="0"/>
          <w:numId w:val="2"/>
        </w:numPr>
        <w:spacing w:after="80"/>
      </w:pPr>
      <w:r>
        <w:rPr>
          <w:rFonts w:ascii="Arial" w:cs="Arial" w:eastAsia="Arial" w:hAnsi="Arial"/>
          <w:color w:val="111827"/>
          <w:sz w:val="20"/>
          <w:szCs w:val="20"/>
        </w:rPr>
        <w:t xml:space="preserve">Vérification HMAC-SHA256 : le webhook de paiement ne peut pas être falsifié. Un attaquant qui connaît l'URL du webhook ne peut pas simuler un paiement confirmé.</w:t>
      </w:r>
    </w:p>
    <w:p>
      <w:pPr>
        <w:pStyle w:val="ListParagraph"/>
        <w:numPr>
          <w:ilvl w:val="0"/>
          <w:numId w:val="2"/>
        </w:numPr>
        <w:spacing w:after="80"/>
      </w:pPr>
      <w:r>
        <w:rPr>
          <w:rFonts w:ascii="Arial" w:cs="Arial" w:eastAsia="Arial" w:hAnsi="Arial"/>
          <w:color w:val="111827"/>
          <w:sz w:val="20"/>
          <w:szCs w:val="20"/>
        </w:rPr>
        <w:t xml:space="preserve">Celery asynchrone : les notifications n'impactent pas le temps de réponse de l'API. Le patient reçoit sa confirmation en &lt; 200ms même si l'envoi SMS prend 2 secondes.</w:t>
      </w:r>
    </w:p>
    <w:p>
      <w:pPr>
        <w:pStyle w:val="ListParagraph"/>
        <w:numPr>
          <w:ilvl w:val="0"/>
          <w:numId w:val="2"/>
        </w:numPr>
        <w:spacing w:after="80"/>
      </w:pPr>
      <w:r>
        <w:rPr>
          <w:rFonts w:ascii="Arial" w:cs="Arial" w:eastAsia="Arial" w:hAnsi="Arial"/>
          <w:color w:val="111827"/>
          <w:sz w:val="20"/>
          <w:szCs w:val="20"/>
        </w:rPr>
        <w:t xml:space="preserve">Statuts intermédiaires : le RDV passe par 'en_attente' → 'confirme' pour que le médecin ne soit jamais notifié d'un RDV non payé.</w:t>
      </w:r>
    </w:p>
    <w:p>
      <w:pPr>
        <w:spacing w:after="200"/>
      </w:pPr>
      <w:r>
        <w:t xml:space="preserve"/>
      </w:r>
    </w:p>
    <w:p>
      <w:r>
        <w:br w:type="page"/>
      </w:r>
    </w:p>
    <w:p>
      <w:pPr>
        <w:shd w:fill="0F766E" w:val="clear"/>
        <w:spacing w:before="240" w:after="200"/>
      </w:pPr>
      <w:r>
        <w:rPr>
          <w:rFonts w:ascii="Arial" w:cs="Arial" w:eastAsia="Arial" w:hAnsi="Arial"/>
          <w:b/>
          <w:bCs/>
          <w:color w:val="FFFFFF"/>
          <w:sz w:val="30"/>
          <w:szCs w:val="30"/>
        </w:rPr>
        <w:t xml:space="preserve">   SECTION 6 — PHASE 4 : TÉLÉCONSULTATION WEBRTC + WHISPER IA</w:t>
      </w:r>
    </w:p>
    <w:p>
      <w:pPr>
        <w:spacing w:after="80"/>
      </w:pPr>
      <w:r>
        <w:t xml:space="preserve"/>
      </w:r>
    </w:p>
    <w:p>
      <w:pPr>
        <w:spacing w:after="100" w:line="276"/>
        <w:jc w:val="both"/>
      </w:pPr>
      <w:r>
        <w:rPr>
          <w:rFonts w:ascii="Arial" w:cs="Arial" w:eastAsia="Arial" w:hAnsi="Arial"/>
          <w:color w:val="111827"/>
          <w:sz w:val="20"/>
          <w:szCs w:val="20"/>
        </w:rPr>
        <w:t xml:space="preserve">La Phase 4 est la séquence la plus complexe du diagramme. Elle couvre le déroulement complet d'une téléconsultation vidéo : salle d'attente virtuelle, connexion WebRTC peer-to-peer, transcription automatique par Whisper IA en parallèle, rédaction du compte-rendu, émission de l'ordonnance sécurisée. Le fragment UML [par  Video + IA] indique que la vidéo WebRTC et la transcription Whisper fonctionnent EN PARALLÈLE ET SIMULTANÉMENT.</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6.1  Qu'est-ce que WebRTC ?</w:t>
      </w:r>
    </w:p>
    <w:p>
      <w:pPr>
        <w:spacing w:after="100" w:line="276"/>
        <w:jc w:val="both"/>
      </w:pPr>
      <w:r>
        <w:rPr>
          <w:rFonts w:ascii="Arial" w:cs="Arial" w:eastAsia="Arial" w:hAnsi="Arial"/>
          <w:color w:val="111827"/>
          <w:sz w:val="20"/>
          <w:szCs w:val="20"/>
        </w:rPr>
        <w:t xml:space="preserve">WebRTC (Web Real-Time Communication) est un protocole open-source qui permet des communications audio et vidéo peer-to-peer directement entre les navigateurs ou applications mobiles, sans passer par un serveur intermédiaire pour le flux vidéo lui-même. Néré utilise WebRTC avec un serveur TURN (Traversal Using Relays around NAT) pour gérer les cas où la connexion directe P2P est impossible (firewall, NAT restrictif). C'est la même technologie utilisée par Google Meet, Zoom (en partie) et Doctolib pour leurs consultations vidéo.</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6.2  Analyse message par message — Phase 4</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500"/>
        <w:gridCol w:w="1600"/>
        <w:gridCol w:w="1600"/>
        <w:gridCol w:w="2200"/>
        <w:gridCol w:w="3126"/>
      </w:tblGrid>
      <w:tr>
        <w:trPr>
          <w:tblHeader/>
        </w:trPr>
        <w:tc>
          <w:tcPr>
            <w:tcW w:type="dxa" w:w="5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 (Émetteur)</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Vers (Récepteur)</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Message / Action</w:t>
            </w:r>
          </w:p>
        </w:tc>
        <w:tc>
          <w:tcPr>
            <w:tcW w:type="dxa" w:w="31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Explication détaillée</w:t>
            </w:r>
          </w:p>
        </w:tc>
      </w:tr>
      <w:tr>
        <w:tc>
          <w:tcPr>
            <w:gridSpan w:val="5"/>
            <w:shd w:fill="0F766E" w:val="clear"/>
            <w:tcMar>
              <w:top w:type="dxa" w:w="70"/>
              <w:left w:type="dxa" w:w="180"/>
              <w:bottom w:type="dxa" w:w="70"/>
              <w:right w:type="dxa" w:w="100"/>
            </w:tcMar>
          </w:tcPr>
          <w:p>
            <w:r>
              <w:rPr>
                <w:rFonts w:ascii="Arial" w:cs="Arial" w:eastAsia="Arial" w:hAnsi="Arial"/>
                <w:b/>
                <w:bCs/>
                <w:color w:val="FFFFFF"/>
                <w:sz w:val="20"/>
                <w:szCs w:val="20"/>
              </w:rPr>
              <w:t xml:space="preserve">  ▶  SOUS-PHASE 4A — Salle d'attente virtuelle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Patient</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Rejoint salle d'attente virtuelle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Quelques minutes avant le RDV, le patient clique 'Rejoindre la consultation'. L'App lui affiche la salle d'attente avec le temps estimé avant que le médecin rejoigne.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/consultations/rejoindre {rdv_id}</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demande à l'API de préparer la session de téléconsultation pour ce RDV.</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Vérifie paiement confirmé + heure RDV</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VÉRIFICATION DE SÉCURITÉ : l'API vérifie que (1) le paiement est bien confirmé, (2) l'heure actuelle est dans la fenêtre autorisée (± 15 minutes autour de l'heure du RDV). Refus si l'une de ces conditions n'est pas remplie.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{room_id WebRTC, token_patient}</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génère un identifiant unique de salle WebRTC et un token d'accès temporaire signé. Ce token expire après la consultation pour empêcher tout accès ultérieur à la salle.</w:t>
            </w:r>
          </w:p>
        </w:tc>
      </w:tr>
      <w:tr>
        <w:tc>
          <w:tcPr>
            <w:gridSpan w:val="5"/>
            <w:shd w:fill="1D4ED8" w:val="clear"/>
            <w:tcMar>
              <w:top w:type="dxa" w:w="70"/>
              <w:left w:type="dxa" w:w="180"/>
              <w:bottom w:type="dxa" w:w="70"/>
              <w:right w:type="dxa" w:w="100"/>
            </w:tcMar>
          </w:tcPr>
          <w:p>
            <w:r>
              <w:rPr>
                <w:rFonts w:ascii="Arial" w:cs="Arial" w:eastAsia="Arial" w:hAnsi="Arial"/>
                <w:b/>
                <w:bCs/>
                <w:color w:val="FFFFFF"/>
                <w:sz w:val="20"/>
                <w:szCs w:val="20"/>
              </w:rPr>
              <w:t xml:space="preserve">  ▶  SOUS-PHASE 4B — Établissement de la connexion vidéo WebRTC</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Médecin</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Médecin rejoint depuis son interface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médecin reçoit une notification et clique pour rejoindre la consultation. Il récupère son propre token d'accès depuis l'API.</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Serveur TURN</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WebRTC : échange ICE candidates TURN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ICE (Interactive Connectivity Establishment) est le processus WebRTC qui trouve le meilleur chemin réseau entre patient et médecin. Le serveur TURN joue le rôle de relais si la connexion directe est impossible.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49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TURN</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Connexion P2P établie — flux vidéo/audio</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Une fois les ICE candidates échangés, la connexion directe entre les deux participants est établie. Le flux vidéo et audio transite directement P2P, sans passer par les serveurs Néré.</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consultations (statut=en_cours)</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enregistre le début de la consultation dans la base de données. Un numéro CONS-2025-XXXXXX est généré par trigger. La durée sera calculée automatiquement à la fin.</w:t>
            </w:r>
          </w:p>
        </w:tc>
      </w:tr>
      <w:tr>
        <w:tc>
          <w:tcPr>
            <w:gridSpan w:val="5"/>
            <w:shd w:fill="7C3AED" w:val="clear"/>
            <w:tcMar>
              <w:top w:type="dxa" w:w="70"/>
              <w:left w:type="dxa" w:w="180"/>
              <w:bottom w:type="dxa" w:w="70"/>
              <w:right w:type="dxa" w:w="100"/>
            </w:tcMar>
          </w:tcPr>
          <w:p>
            <w:r>
              <w:rPr>
                <w:rFonts w:ascii="Arial" w:cs="Arial" w:eastAsia="Arial" w:hAnsi="Arial"/>
                <w:b/>
                <w:bCs/>
                <w:color w:val="FFFFFF"/>
                <w:sz w:val="20"/>
                <w:szCs w:val="20"/>
              </w:rPr>
              <w:t xml:space="preserve">  ▶  SOUS-PHASE 4C — Exécution parallèle [par] : Vidéo + Transcription IA</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Médecin</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Notes observations, diagnostic</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Pendant la consultation vidéo, le médecin saisit ses observations cliniques dans le formulaire intégré à l'interface : anamnèse, examen clinique, diagnostic principal avec code CIM-10 OMS.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Auto-save brouillon toutes les 30s (async)</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Sauvegarde automatique asynchrone toutes les 30 secondes. Si la connexion se coupe, aucune donnée n'est perdue. Le médecin retrouve exactement où il en était.</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OpenAI Whisper</w:t>
            </w:r>
          </w:p>
        </w:tc>
        <w:tc>
          <w:tcPr>
            <w:tcW w:type="dxa" w:w="2200"/>
            <w:shd w:fill="EDE9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Stream audio → Whisper STT</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EN PARALLÈLE avec la vidéo : le flux audio de la consultation est envoyé à Whisper (Speech-to-Text OpenAI) pour transcription automatique en temps réel. Le médecin n'a pas besoin de taper tout ce que dit le patient.</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54</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Whisper</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Retourne transcription texte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Whisper retourne la transcription textuelle qui s'affiche en temps réel dans l'interface du médecin. Cette transcription est aussi stockée dans consultations.transcription_ia.</w:t>
            </w:r>
          </w:p>
        </w:tc>
      </w:tr>
      <w:tr>
        <w:tc>
          <w:tcPr>
            <w:gridSpan w:val="5"/>
            <w:shd w:fill="15803D" w:val="clear"/>
            <w:tcMar>
              <w:top w:type="dxa" w:w="70"/>
              <w:left w:type="dxa" w:w="180"/>
              <w:bottom w:type="dxa" w:w="70"/>
              <w:right w:type="dxa" w:w="100"/>
            </w:tcMar>
          </w:tcPr>
          <w:p>
            <w:r>
              <w:rPr>
                <w:rFonts w:ascii="Arial" w:cs="Arial" w:eastAsia="Arial" w:hAnsi="Arial"/>
                <w:b/>
                <w:bCs/>
                <w:color w:val="FFFFFF"/>
                <w:sz w:val="20"/>
                <w:szCs w:val="20"/>
              </w:rPr>
              <w:t xml:space="preserve">  ▶  SOUS-PHASE 4D — Clôture de la consultation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55</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Médecin</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Valide compte-rendu + termine consultation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médecin valide son compte-rendu, pose le diagnostic final, indique si un suivi est nécessaire, et clique 'Terminer la consultation'.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56</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/consultations/terminer {compte-rendu}</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envoie l'intégralité du compte-rendu : motif, anamnèse, examen clinique, diagnostic, code CIM-10, plan de traitement, transcription IA.</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57</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UPDATE consultation (terminee, transcription)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 consultation est marquée 'terminee'. La durée est calculée automatiquement par trigger (fn_calc_duree_consultation). La transcription Whisper est archivée.</w:t>
            </w:r>
          </w:p>
        </w:tc>
      </w:tr>
      <w:tr>
        <w:tc>
          <w:tcPr>
            <w:gridSpan w:val="5"/>
            <w:shd w:fill="D97706" w:val="clear"/>
            <w:tcMar>
              <w:top w:type="dxa" w:w="70"/>
              <w:left w:type="dxa" w:w="180"/>
              <w:bottom w:type="dxa" w:w="70"/>
              <w:right w:type="dxa" w:w="100"/>
            </w:tcMar>
          </w:tcPr>
          <w:p>
            <w:r>
              <w:rPr>
                <w:rFonts w:ascii="Arial" w:cs="Arial" w:eastAsia="Arial" w:hAnsi="Arial"/>
                <w:b/>
                <w:bCs/>
                <w:color w:val="FFFFFF"/>
                <w:sz w:val="20"/>
                <w:szCs w:val="20"/>
              </w:rPr>
              <w:t xml:space="preserve">  ▶  SOUS-PHASE 4E — Émission de l'ordonnance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58</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Médecin</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Rédige ordonnance (médicaments + posologie)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Le médecin saisit les médicaments : nom DCI, dosage, forme galénique, posologie complète, durée et quantité. Chaque médicament = une ligne dans ordonnance_lignes.</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59</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App Néré</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POST /ordonnances {médicaments[]}</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L'App envoie l'ordonnance complète à l'API.</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60</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Génère QR Code + signature numérique</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L'API génère : (1) un QR Code encodant les identifiants de l'ordonnance et son hash SHA-256, (2) un code pharmacie unique de 8 caractères aléatoires pour le retrait en officine, (3) la signature numérique du médecin.</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61</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DBEAFE"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ordonnances + ordonnance_lignes</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L'ordonnance est enregistrée en base. Les triggers génèrent automatiquement le numéro ORD-2025-XXXXXX et le hash d'intégrité SHA-256.</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62</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Celery Worker</w:t>
            </w:r>
          </w:p>
        </w:tc>
        <w:tc>
          <w:tcPr>
            <w:tcW w:type="dxa" w:w="2200"/>
            <w:shd w:fill="FEF3C7"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Celery : génère PDF MinIO + notif patient</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ASYNCHRONE : Celery génère le PDF de l'ordonnance en arrière-plan, l'upload sur MinIO/S3, et envoie une notification push au patient 'Votre ordonnance est disponible'.</w:t>
            </w:r>
          </w:p>
        </w:tc>
      </w:tr>
      <w:tr>
        <w:tc>
          <w:tcPr>
            <w:tcW w:type="dxa" w:w="500"/>
            <w:shd w:fill="DBEAFE" w:val="clear"/>
            <w:tcMar>
              <w:top w:type="dxa" w:w="90"/>
              <w:left w:type="dxa" w:w="130"/>
              <w:bottom w:type="dxa" w:w="90"/>
              <w:right w:type="dxa" w:w="130"/>
            </w:tcMar>
            <w:vAlign w:val="center"/>
          </w:tcPr>
          <w:p>
            <w:pPr>
              <w:jc w:val="center"/>
            </w:pPr>
            <w:r>
              <w:rPr>
                <w:rFonts w:ascii="Arial" w:cs="Arial" w:eastAsia="Arial" w:hAnsi="Arial"/>
                <w:b/>
                <w:bCs/>
                <w:color w:val="1D4ED8"/>
                <w:sz w:val="17"/>
                <w:szCs w:val="17"/>
              </w:rPr>
              <w:t xml:space="preserve">63</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API FastAPI</w:t>
            </w:r>
          </w:p>
        </w:tc>
        <w:tc>
          <w:tcPr>
            <w:tcW w:type="dxa" w:w="1600"/>
            <w:shd w:fill="EEF2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7"/>
                <w:szCs w:val="17"/>
              </w:rPr>
              <w:t xml:space="preserve">PostgreSQL</w:t>
            </w:r>
          </w:p>
        </w:tc>
        <w:tc>
          <w:tcPr>
            <w:tcW w:type="dxa" w:w="2200"/>
            <w:shd w:fill="FFFFFF" w:val="clear"/>
            <w:tcMar>
              <w:top w:type="dxa" w:w="90"/>
              <w:left w:type="dxa" w:w="130"/>
              <w:bottom w:type="dxa" w:w="90"/>
              <w:right w:type="dxa" w:w="130"/>
            </w:tcMar>
            <w:vAlign w:val="center"/>
          </w:tcPr>
          <w:p>
            <w:pPr>
              <w:jc w:val="left"/>
            </w:pPr>
            <w:r>
              <w:rPr>
                <w:rFonts w:ascii="Arial" w:cs="Arial" w:eastAsia="Arial" w:hAnsi="Arial"/>
                <w:b/>
                <w:bCs/>
                <w:color w:val="111827"/>
                <w:sz w:val="17"/>
                <w:szCs w:val="17"/>
              </w:rPr>
              <w:t xml:space="preserve">INSERT audit_logs (téléconsultation_fin)</w:t>
            </w:r>
          </w:p>
        </w:tc>
        <w:tc>
          <w:tcPr>
            <w:tcW w:type="dxa" w:w="31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7"/>
                <w:szCs w:val="17"/>
              </w:rPr>
              <w:t xml:space="preserve">Trace finale : fin de la téléconsultation avec l'identifiant du médecin, du patient, la durée, l'heure. Conservé indéfiniment pour des raisons légales.</w:t>
            </w:r>
          </w:p>
        </w:tc>
      </w:tr>
    </w:tbl>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6.3  Points techniques clés de la Phase 4</w:t>
      </w:r>
    </w:p>
    <w:p>
      <w:pPr>
        <w:pStyle w:val="ListParagraph"/>
        <w:numPr>
          <w:ilvl w:val="0"/>
          <w:numId w:val="2"/>
        </w:numPr>
        <w:spacing w:after="80"/>
      </w:pPr>
      <w:r>
        <w:rPr>
          <w:rFonts w:ascii="Arial" w:cs="Arial" w:eastAsia="Arial" w:hAnsi="Arial"/>
          <w:color w:val="111827"/>
          <w:sz w:val="20"/>
          <w:szCs w:val="20"/>
        </w:rPr>
        <w:t xml:space="preserve">WebRTC peer-to-peer : le flux vidéo ne passe PAS par les serveurs Néré, préservant la confidentialité médicale et réduisant la latence.</w:t>
      </w:r>
    </w:p>
    <w:p>
      <w:pPr>
        <w:pStyle w:val="ListParagraph"/>
        <w:numPr>
          <w:ilvl w:val="0"/>
          <w:numId w:val="2"/>
        </w:numPr>
        <w:spacing w:after="80"/>
      </w:pPr>
      <w:r>
        <w:rPr>
          <w:rFonts w:ascii="Arial" w:cs="Arial" w:eastAsia="Arial" w:hAnsi="Arial"/>
          <w:color w:val="111827"/>
          <w:sz w:val="20"/>
          <w:szCs w:val="20"/>
        </w:rPr>
        <w:t xml:space="preserve">Fragment [par] : la vidéo WebRTC et la transcription Whisper s'exécutent SIMULTANÉMENT, pas séquentiellement. Le médecin obtient la transcription en temps réel pendant la consultation.</w:t>
      </w:r>
    </w:p>
    <w:p>
      <w:pPr>
        <w:pStyle w:val="ListParagraph"/>
        <w:numPr>
          <w:ilvl w:val="0"/>
          <w:numId w:val="2"/>
        </w:numPr>
        <w:spacing w:after="80"/>
      </w:pPr>
      <w:r>
        <w:rPr>
          <w:rFonts w:ascii="Arial" w:cs="Arial" w:eastAsia="Arial" w:hAnsi="Arial"/>
          <w:color w:val="111827"/>
          <w:sz w:val="20"/>
          <w:szCs w:val="20"/>
        </w:rPr>
        <w:t xml:space="preserve">Auto-save toutes les 30s : protection contre les coupures réseau fréquentes en zones à faible bande passante (contexte camerounais).</w:t>
      </w:r>
    </w:p>
    <w:p>
      <w:pPr>
        <w:pStyle w:val="ListParagraph"/>
        <w:numPr>
          <w:ilvl w:val="0"/>
          <w:numId w:val="2"/>
        </w:numPr>
        <w:spacing w:after="80"/>
      </w:pPr>
      <w:r>
        <w:rPr>
          <w:rFonts w:ascii="Arial" w:cs="Arial" w:eastAsia="Arial" w:hAnsi="Arial"/>
          <w:color w:val="111827"/>
          <w:sz w:val="20"/>
          <w:szCs w:val="20"/>
        </w:rPr>
        <w:t xml:space="preserve">Ordonnance anti-falsification : QR Code + code pharmacie + hash SHA-256 + signature numérique. Un pharmacien peut vérifier l'authenticité en temps réel via l'API Néré.</w:t>
      </w:r>
    </w:p>
    <w:p>
      <w:pPr>
        <w:pStyle w:val="ListParagraph"/>
        <w:numPr>
          <w:ilvl w:val="0"/>
          <w:numId w:val="2"/>
        </w:numPr>
        <w:spacing w:after="80"/>
      </w:pPr>
      <w:r>
        <w:rPr>
          <w:rFonts w:ascii="Arial" w:cs="Arial" w:eastAsia="Arial" w:hAnsi="Arial"/>
          <w:color w:val="111827"/>
          <w:sz w:val="20"/>
          <w:szCs w:val="20"/>
        </w:rPr>
        <w:t xml:space="preserve">Celery asynchrone : la génération du PDF et l'envoi des notifications ne bloquent pas la réponse au médecin. Expérience utilisateur fluide même si le PDF prend 3 secondes à générer.</w:t>
      </w:r>
    </w:p>
    <w:p>
      <w:pPr>
        <w:spacing w:after="200"/>
      </w:pPr>
      <w:r>
        <w:t xml:space="preserve"/>
      </w:r>
    </w:p>
    <w:p>
      <w:r>
        <w:br w:type="page"/>
      </w:r>
    </w:p>
    <w:p>
      <w:pPr>
        <w:shd w:fill="0D2B5E" w:val="clear"/>
        <w:spacing w:before="240" w:after="200"/>
      </w:pPr>
      <w:r>
        <w:rPr>
          <w:rFonts w:ascii="Arial" w:cs="Arial" w:eastAsia="Arial" w:hAnsi="Arial"/>
          <w:b/>
          <w:bCs/>
          <w:color w:val="FFFFFF"/>
          <w:sz w:val="30"/>
          <w:szCs w:val="30"/>
        </w:rPr>
        <w:t xml:space="preserve">   SECTION 7 — VUE D'ENSEMBLE ET LOGIQUE GLOBALE DU DIAGRAMME</w:t>
      </w:r>
    </w:p>
    <w:p>
      <w:pPr>
        <w:spacing w:after="120"/>
      </w:pPr>
      <w:r>
        <w:t xml:space="preserve"/>
      </w:r>
    </w:p>
    <w:p>
      <w:pPr>
        <w:pBdr>
          <w:bottom w:val="single" w:color="1D4ED8" w:sz="6" w:space="3"/>
        </w:pBdr>
        <w:spacing w:before="200" w:after="110"/>
      </w:pPr>
      <w:r>
        <w:rPr>
          <w:rFonts w:ascii="Arial" w:cs="Arial" w:eastAsia="Arial" w:hAnsi="Arial"/>
          <w:b/>
          <w:bCs/>
          <w:color w:val="0D2B5E"/>
          <w:sz w:val="23"/>
          <w:szCs w:val="23"/>
        </w:rPr>
        <w:t xml:space="preserve">7.1  Chronologie complète — Les 48 messages en résumé</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700"/>
        <w:gridCol w:w="1600"/>
        <w:gridCol w:w="1400"/>
        <w:gridCol w:w="5326"/>
      </w:tblGrid>
      <w:tr>
        <w:trPr>
          <w:tblHeader/>
        </w:trPr>
        <w:tc>
          <w:tcPr>
            <w:tcW w:type="dxa" w:w="7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Msgs</w:t>
            </w:r>
          </w:p>
        </w:tc>
        <w:tc>
          <w:tcPr>
            <w:tcW w:type="dxa" w:w="16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Phase</w:t>
            </w:r>
          </w:p>
        </w:tc>
        <w:tc>
          <w:tcPr>
            <w:tcW w:type="dxa" w:w="14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Durée typ.</w:t>
            </w:r>
          </w:p>
        </w:tc>
        <w:tc>
          <w:tcPr>
            <w:tcW w:type="dxa" w:w="53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Ce qui se passe</w:t>
            </w:r>
          </w:p>
        </w:tc>
      </w:tr>
      <w:tr>
        <w:tc>
          <w:tcPr>
            <w:tcW w:type="dxa" w:w="700"/>
            <w:shd w:fill="EEF2FF" w:val="clear"/>
            <w:tcMar>
              <w:top w:type="dxa" w:w="90"/>
              <w:left w:type="dxa" w:w="130"/>
              <w:bottom w:type="dxa" w:w="90"/>
              <w:right w:type="dxa" w:w="130"/>
            </w:tcMar>
            <w:vAlign w:val="center"/>
          </w:tcPr>
          <w:p>
            <w:pPr>
              <w:jc w:val="center"/>
            </w:pPr>
            <w:r>
              <w:rPr>
                <w:rFonts w:ascii="Arial" w:cs="Arial" w:eastAsia="Arial" w:hAnsi="Arial"/>
                <w:b/>
                <w:bCs/>
                <w:color w:val="0D2B5E"/>
                <w:sz w:val="18"/>
                <w:szCs w:val="18"/>
              </w:rPr>
              <w:t xml:space="preserve">1–16</w:t>
            </w:r>
          </w:p>
        </w:tc>
        <w:tc>
          <w:tcPr>
            <w:tcW w:type="dxa" w:w="1600"/>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2B5E"/>
                <w:sz w:val="18"/>
                <w:szCs w:val="18"/>
              </w:rPr>
              <w:t xml:space="preserve">Phase 1 Authentification</w:t>
            </w:r>
          </w:p>
        </w:tc>
        <w:tc>
          <w:tcPr>
            <w:tcW w:type="dxa" w:w="14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~2–5 secondes</w:t>
            </w:r>
          </w:p>
        </w:tc>
        <w:tc>
          <w:tcPr>
            <w:tcW w:type="dxa" w:w="53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Le patient se connecte avec email + mot de passe + code 2FA. Des tokens JWT sont générés. La session est enregistrée. L'audit est tracé.</w:t>
            </w:r>
          </w:p>
        </w:tc>
      </w:tr>
      <w:tr>
        <w:tc>
          <w:tcPr>
            <w:tcW w:type="dxa" w:w="700"/>
            <w:shd w:fill="EDE9FE" w:val="clear"/>
            <w:tcMar>
              <w:top w:type="dxa" w:w="90"/>
              <w:left w:type="dxa" w:w="130"/>
              <w:bottom w:type="dxa" w:w="90"/>
              <w:right w:type="dxa" w:w="130"/>
            </w:tcMar>
            <w:vAlign w:val="center"/>
          </w:tcPr>
          <w:p>
            <w:pPr>
              <w:jc w:val="center"/>
            </w:pPr>
            <w:r>
              <w:rPr>
                <w:rFonts w:ascii="Arial" w:cs="Arial" w:eastAsia="Arial" w:hAnsi="Arial"/>
                <w:b/>
                <w:bCs/>
                <w:color w:val="7C3AED"/>
                <w:sz w:val="18"/>
                <w:szCs w:val="18"/>
              </w:rPr>
              <w:t xml:space="preserve">17–26</w:t>
            </w:r>
          </w:p>
        </w:tc>
        <w:tc>
          <w:tcPr>
            <w:tcW w:type="dxa" w:w="1600"/>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C3AED"/>
                <w:sz w:val="18"/>
                <w:szCs w:val="18"/>
              </w:rPr>
              <w:t xml:space="preserve">Phase 2 Pré-triage IA</w:t>
            </w:r>
          </w:p>
        </w:tc>
        <w:tc>
          <w:tcPr>
            <w:tcW w:type="dxa" w:w="14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~2–4 secondes/msg</w:t>
            </w:r>
          </w:p>
        </w:tc>
        <w:tc>
          <w:tcPr>
            <w:tcW w:type="dxa" w:w="53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Le patient décrit ses symptômes. L'IA (GPT-4o mini) analyse et suggère une spécialité médicale et évalue le niveau d'urgence.</w:t>
            </w:r>
          </w:p>
        </w:tc>
      </w:tr>
      <w:tr>
        <w:tc>
          <w:tcPr>
            <w:tcW w:type="dxa" w:w="700"/>
            <w:shd w:fill="DCFCE7" w:val="clear"/>
            <w:tcMar>
              <w:top w:type="dxa" w:w="90"/>
              <w:left w:type="dxa" w:w="130"/>
              <w:bottom w:type="dxa" w:w="90"/>
              <w:right w:type="dxa" w:w="130"/>
            </w:tcMar>
            <w:vAlign w:val="center"/>
          </w:tcPr>
          <w:p>
            <w:pPr>
              <w:jc w:val="center"/>
            </w:pPr>
            <w:r>
              <w:rPr>
                <w:rFonts w:ascii="Arial" w:cs="Arial" w:eastAsia="Arial" w:hAnsi="Arial"/>
                <w:b/>
                <w:bCs/>
                <w:color w:val="15803D"/>
                <w:sz w:val="18"/>
                <w:szCs w:val="18"/>
              </w:rPr>
              <w:t xml:space="preserve">27–42</w:t>
            </w:r>
          </w:p>
        </w:tc>
        <w:tc>
          <w:tcPr>
            <w:tcW w:type="dxa" w:w="1600"/>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5803D"/>
                <w:sz w:val="18"/>
                <w:szCs w:val="18"/>
              </w:rPr>
              <w:t xml:space="preserve">Phase 3 RDV + Paiement</w:t>
            </w:r>
          </w:p>
        </w:tc>
        <w:tc>
          <w:tcPr>
            <w:tcW w:type="dxa" w:w="14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~30–60 secondes</w:t>
            </w:r>
          </w:p>
        </w:tc>
        <w:tc>
          <w:tcPr>
            <w:tcW w:type="dxa" w:w="53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Le patient réserve un créneau. Le RDV est créé avec verrou anti-doublon. Le paiement Mobile Money est initié et confirmé via webhook sécurisé.</w:t>
            </w:r>
          </w:p>
        </w:tc>
      </w:tr>
      <w:tr>
        <w:tc>
          <w:tcPr>
            <w:tcW w:type="dxa" w:w="700"/>
            <w:shd w:fill="CCFBF1" w:val="clear"/>
            <w:tcMar>
              <w:top w:type="dxa" w:w="90"/>
              <w:left w:type="dxa" w:w="130"/>
              <w:bottom w:type="dxa" w:w="90"/>
              <w:right w:type="dxa" w:w="130"/>
            </w:tcMar>
            <w:vAlign w:val="center"/>
          </w:tcPr>
          <w:p>
            <w:pPr>
              <w:jc w:val="center"/>
            </w:pPr>
            <w:r>
              <w:rPr>
                <w:rFonts w:ascii="Arial" w:cs="Arial" w:eastAsia="Arial" w:hAnsi="Arial"/>
                <w:b/>
                <w:bCs/>
                <w:color w:val="0F766E"/>
                <w:sz w:val="18"/>
                <w:szCs w:val="18"/>
              </w:rPr>
              <w:t xml:space="preserve">43–63</w:t>
            </w:r>
          </w:p>
        </w:tc>
        <w:tc>
          <w:tcPr>
            <w:tcW w:type="dxa" w:w="1600"/>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F766E"/>
                <w:sz w:val="18"/>
                <w:szCs w:val="18"/>
              </w:rPr>
              <w:t xml:space="preserve">Phase 4 Téléconsultation</w:t>
            </w:r>
          </w:p>
        </w:tc>
        <w:tc>
          <w:tcPr>
            <w:tcW w:type="dxa" w:w="14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15–60 minutes</w:t>
            </w:r>
          </w:p>
        </w:tc>
        <w:tc>
          <w:tcPr>
            <w:tcW w:type="dxa" w:w="5326"/>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11827"/>
                <w:sz w:val="18"/>
                <w:szCs w:val="18"/>
              </w:rPr>
              <w:t xml:space="preserve">Connexion WebRTC P2P. Consultation vidéo + transcription IA en parallèle. Compte-rendu médical. Ordonnance signée numériquement avec QR Code.</w:t>
            </w:r>
          </w:p>
        </w:tc>
      </w:tr>
    </w:tbl>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7.2  Flux de données entre participants</w:t>
      </w:r>
    </w:p>
    <w:p>
      <w:pPr>
        <w:spacing w:after="100" w:line="276"/>
        <w:jc w:val="both"/>
      </w:pPr>
      <w:r>
        <w:rPr>
          <w:rFonts w:ascii="Arial" w:cs="Arial" w:eastAsia="Arial" w:hAnsi="Arial"/>
          <w:color w:val="111827"/>
          <w:sz w:val="20"/>
          <w:szCs w:val="20"/>
        </w:rPr>
        <w:t xml:space="preserve">Le diagramme illustre comment les données circulent entre 8 composants technologiques distincts. Comprendre ce flux est essentiel pour implémenter correctement le système :</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Patient → App Néré : interactions humaines (clics, saisies). Pas de logique métier côté client.</w:t>
      </w:r>
    </w:p>
    <w:p>
      <w:pPr>
        <w:pStyle w:val="ListParagraph"/>
        <w:numPr>
          <w:ilvl w:val="0"/>
          <w:numId w:val="2"/>
        </w:numPr>
        <w:spacing w:after="80"/>
      </w:pPr>
      <w:r>
        <w:rPr>
          <w:rFonts w:ascii="Arial" w:cs="Arial" w:eastAsia="Arial" w:hAnsi="Arial"/>
          <w:color w:val="111827"/>
          <w:sz w:val="20"/>
          <w:szCs w:val="20"/>
        </w:rPr>
        <w:t xml:space="preserve">App Néré ↔ API FastAPI : communications HTTPS/REST. L'App ne parle JAMAIS directement à la base de données.</w:t>
      </w:r>
    </w:p>
    <w:p>
      <w:pPr>
        <w:pStyle w:val="ListParagraph"/>
        <w:numPr>
          <w:ilvl w:val="0"/>
          <w:numId w:val="2"/>
        </w:numPr>
        <w:spacing w:after="80"/>
      </w:pPr>
      <w:r>
        <w:rPr>
          <w:rFonts w:ascii="Arial" w:cs="Arial" w:eastAsia="Arial" w:hAnsi="Arial"/>
          <w:color w:val="111827"/>
          <w:sz w:val="20"/>
          <w:szCs w:val="20"/>
        </w:rPr>
        <w:t xml:space="preserve">API FastAPI ↔ PostgreSQL : requêtes SQL paramétrées via SQLAlchemy ORM. Jamais de SQL dynamique.</w:t>
      </w:r>
    </w:p>
    <w:p>
      <w:pPr>
        <w:pStyle w:val="ListParagraph"/>
        <w:numPr>
          <w:ilvl w:val="0"/>
          <w:numId w:val="2"/>
        </w:numPr>
        <w:spacing w:after="80"/>
      </w:pPr>
      <w:r>
        <w:rPr>
          <w:rFonts w:ascii="Arial" w:cs="Arial" w:eastAsia="Arial" w:hAnsi="Arial"/>
          <w:color w:val="111827"/>
          <w:sz w:val="20"/>
          <w:szCs w:val="20"/>
        </w:rPr>
        <w:t xml:space="preserve">API FastAPI ↔ Redis : lecture/écriture ultra-rapide pour les données temporaires (sessions IA, cache).</w:t>
      </w:r>
    </w:p>
    <w:p>
      <w:pPr>
        <w:pStyle w:val="ListParagraph"/>
        <w:numPr>
          <w:ilvl w:val="0"/>
          <w:numId w:val="2"/>
        </w:numPr>
        <w:spacing w:after="80"/>
      </w:pPr>
      <w:r>
        <w:rPr>
          <w:rFonts w:ascii="Arial" w:cs="Arial" w:eastAsia="Arial" w:hAnsi="Arial"/>
          <w:color w:val="111827"/>
          <w:sz w:val="20"/>
          <w:szCs w:val="20"/>
        </w:rPr>
        <w:t xml:space="preserve">API FastAPI → Celery : délégation de tâches longues (PDF, emails, SMS) pour ne pas bloquer les réponses API.</w:t>
      </w:r>
    </w:p>
    <w:p>
      <w:pPr>
        <w:pStyle w:val="ListParagraph"/>
        <w:numPr>
          <w:ilvl w:val="0"/>
          <w:numId w:val="2"/>
        </w:numPr>
        <w:spacing w:after="80"/>
      </w:pPr>
      <w:r>
        <w:rPr>
          <w:rFonts w:ascii="Arial" w:cs="Arial" w:eastAsia="Arial" w:hAnsi="Arial"/>
          <w:color w:val="111827"/>
          <w:sz w:val="20"/>
          <w:szCs w:val="20"/>
        </w:rPr>
        <w:t xml:space="preserve">API FastAPI ↔ CinetPay : paiement initié par l'API, confirmation reçue par webhook signé.</w:t>
      </w:r>
    </w:p>
    <w:p>
      <w:pPr>
        <w:pStyle w:val="ListParagraph"/>
        <w:numPr>
          <w:ilvl w:val="0"/>
          <w:numId w:val="2"/>
        </w:numPr>
        <w:spacing w:after="80"/>
      </w:pPr>
      <w:r>
        <w:rPr>
          <w:rFonts w:ascii="Arial" w:cs="Arial" w:eastAsia="Arial" w:hAnsi="Arial"/>
          <w:color w:val="111827"/>
          <w:sz w:val="20"/>
          <w:szCs w:val="20"/>
        </w:rPr>
        <w:t xml:space="preserve">API FastAPI ↔ OpenAI : appels sortants uniquement. L'IA n'a jamais accès direct à la base de données Néré.</w:t>
      </w:r>
    </w:p>
    <w:p>
      <w:pPr>
        <w:pStyle w:val="ListParagraph"/>
        <w:numPr>
          <w:ilvl w:val="0"/>
          <w:numId w:val="2"/>
        </w:numPr>
        <w:spacing w:after="80"/>
      </w:pPr>
      <w:r>
        <w:rPr>
          <w:rFonts w:ascii="Arial" w:cs="Arial" w:eastAsia="Arial" w:hAnsi="Arial"/>
          <w:color w:val="111827"/>
          <w:sz w:val="20"/>
          <w:szCs w:val="20"/>
        </w:rPr>
        <w:t xml:space="preserve">App Néré ↔ Serveur TURN : négociation WebRTC uniquement. Le flux vidéo final est P2P direct.</w:t>
      </w:r>
    </w:p>
    <w:p>
      <w:pPr>
        <w:spacing w:after="160"/>
      </w:pPr>
      <w:r>
        <w:t xml:space="preserve"/>
      </w:r>
    </w:p>
    <w:p>
      <w:pPr>
        <w:pBdr>
          <w:bottom w:val="single" w:color="1D4ED8" w:sz="6" w:space="3"/>
        </w:pBdr>
        <w:spacing w:before="200" w:after="110"/>
      </w:pPr>
      <w:r>
        <w:rPr>
          <w:rFonts w:ascii="Arial" w:cs="Arial" w:eastAsia="Arial" w:hAnsi="Arial"/>
          <w:b/>
          <w:bCs/>
          <w:color w:val="0D2B5E"/>
          <w:sz w:val="23"/>
          <w:szCs w:val="23"/>
        </w:rPr>
        <w:t xml:space="preserve">7.3  Les décisions de conception importantes</w:t>
      </w:r>
    </w:p>
    <w:p>
      <w:pPr>
        <w:spacing w:after="80"/>
      </w:pPr>
      <w:r>
        <w:t xml:space="preserve"/>
      </w:r>
    </w:p>
    <w:p>
      <w:pPr>
        <w:pBdr>
          <w:left w:val="single" w:color="15803D" w:sz="14" w:space="10"/>
        </w:pBdr>
        <w:shd w:fill="DCFCE7" w:val="clear"/>
        <w:spacing w:before="80" w:after="80"/>
        <w:ind w:left="220" w:right="120"/>
      </w:pPr>
      <w:r>
        <w:rPr>
          <w:rFonts w:ascii="Arial" w:cs="Arial" w:eastAsia="Arial" w:hAnsi="Arial"/>
          <w:i/>
          <w:iCs/>
          <w:color w:val="111827"/>
          <w:sz w:val="19"/>
          <w:szCs w:val="19"/>
        </w:rPr>
        <w:t xml:space="preserve">Choix asynchrone / synchrone : les actions qui impactent l'expérience utilisateur (réponse API, retour de paiement) sont synchrones. Les actions longues qui ne nécessitent pas de réponse immédiate (notifications, PDF, logs) sont toujours asynchrones via Celery.</w:t>
      </w:r>
    </w:p>
    <w:p>
      <w:pPr>
        <w:spacing w:after="80"/>
      </w:pPr>
      <w:r>
        <w:t xml:space="preserve"/>
      </w:r>
    </w:p>
    <w:p>
      <w:pPr>
        <w:pBdr>
          <w:left w:val="single" w:color="1D4ED8" w:sz="14" w:space="10"/>
        </w:pBdr>
        <w:shd w:fill="DBEAFE" w:val="clear"/>
        <w:spacing w:before="80" w:after="80"/>
        <w:ind w:left="220" w:right="120"/>
      </w:pPr>
      <w:r>
        <w:rPr>
          <w:rFonts w:ascii="Arial" w:cs="Arial" w:eastAsia="Arial" w:hAnsi="Arial"/>
          <w:i/>
          <w:iCs/>
          <w:color w:val="111827"/>
          <w:sz w:val="19"/>
          <w:szCs w:val="19"/>
        </w:rPr>
        <w:t xml:space="preserve">Choix Redis vs PostgreSQL : l'historique des conversations IA est dans Redis (rapide, temporaire), pas PostgreSQL (persistant mais plus lent). PostgreSQL ne stocke que la session complète pour archivage à la fin.</w:t>
      </w:r>
    </w:p>
    <w:p>
      <w:pPr>
        <w:spacing w:after="80"/>
      </w:pPr>
      <w:r>
        <w:t xml:space="preserve"/>
      </w:r>
    </w:p>
    <w:p>
      <w:pPr>
        <w:pBdr>
          <w:left w:val="single" w:color="7C3AED" w:sz="14" w:space="10"/>
        </w:pBdr>
        <w:shd w:fill="EDE9FE" w:val="clear"/>
        <w:spacing w:before="80" w:after="80"/>
        <w:ind w:left="220" w:right="120"/>
      </w:pPr>
      <w:r>
        <w:rPr>
          <w:rFonts w:ascii="Arial" w:cs="Arial" w:eastAsia="Arial" w:hAnsi="Arial"/>
          <w:i/>
          <w:iCs/>
          <w:color w:val="111827"/>
          <w:sz w:val="19"/>
          <w:szCs w:val="19"/>
        </w:rPr>
        <w:t xml:space="preserve">Séparation des responsabilités : l'App ne fait aucun calcul métier (montants, hash, codes). Tout est dans l'API ou dans les triggers PostgreSQL. Si l'App est compromise, le système reste intègre.</w:t>
      </w:r>
    </w:p>
    <w:p>
      <w:pPr>
        <w:spacing w:after="80"/>
      </w:pPr>
      <w:r>
        <w:t xml:space="preserve"/>
      </w:r>
    </w:p>
    <w:p>
      <w:pPr>
        <w:pBdr>
          <w:left w:val="single" w:color="DC2626" w:sz="14" w:space="10"/>
        </w:pBdr>
        <w:shd w:fill="FEF2F2" w:val="clear"/>
        <w:spacing w:before="80" w:after="80"/>
        <w:ind w:left="220" w:right="120"/>
      </w:pPr>
      <w:r>
        <w:rPr>
          <w:rFonts w:ascii="Arial" w:cs="Arial" w:eastAsia="Arial" w:hAnsi="Arial"/>
          <w:b/>
          <w:bCs/>
          <w:color w:val="DC2626"/>
          <w:sz w:val="19"/>
          <w:szCs w:val="19"/>
        </w:rPr>
        <w:t xml:space="preserve">⚠  Sécurité : aucun secret (clés API, mots de passe) ne transite entre l'App et le Patient. Les tokens JWT sont en mémoire volatile. Les webhooks sont vérifiés HMAC. Les messages sont en BYTEA chiffré. PostgreSQL ne stocke jamais de mots de passe en clair.</w:t>
      </w:r>
    </w:p>
    <w:p>
      <w:pPr>
        <w:spacing w:after="200"/>
      </w:pPr>
      <w:r>
        <w:t xml:space="preserve"/>
      </w:r>
    </w:p>
    <w:p>
      <w:pPr>
        <w:shd w:fill="0D2B5E" w:val="clear"/>
        <w:spacing w:before="240" w:after="200"/>
      </w:pPr>
      <w:r>
        <w:rPr>
          <w:rFonts w:ascii="Arial" w:cs="Arial" w:eastAsia="Arial" w:hAnsi="Arial"/>
          <w:b/>
          <w:bCs/>
          <w:color w:val="FFFFFF"/>
          <w:sz w:val="30"/>
          <w:szCs w:val="30"/>
        </w:rPr>
        <w:t xml:space="preserve">   SECTION 8 — COMPARAISON AVEC DOCTOLIB ET QARE</w:t>
      </w:r>
    </w:p>
    <w:p>
      <w:pPr>
        <w:spacing w:after="120"/>
      </w:pPr>
      <w:r>
        <w:t xml:space="preserve"/>
      </w:r>
    </w:p>
    <w:p>
      <w:pPr>
        <w:spacing w:after="100" w:line="276"/>
        <w:jc w:val="both"/>
      </w:pPr>
      <w:r>
        <w:rPr>
          <w:rFonts w:ascii="Arial" w:cs="Arial" w:eastAsia="Arial" w:hAnsi="Arial"/>
          <w:color w:val="111827"/>
          <w:sz w:val="20"/>
          <w:szCs w:val="20"/>
        </w:rPr>
        <w:t xml:space="preserve">Le diagramme de séquence de Néré s'inspire des standards industriels de Doctolib (France, 65M d'utilisateurs) et Qare/HealthHero (UK/France). Voici une analyse comparative professionnelle :</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400"/>
        <w:gridCol w:w="2200"/>
        <w:gridCol w:w="2200"/>
        <w:gridCol w:w="2226"/>
      </w:tblGrid>
      <w:tr>
        <w:trPr>
          <w:tblHeader/>
        </w:trPr>
        <w:tc>
          <w:tcPr>
            <w:tcW w:type="dxa" w:w="24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Fonctionnalité</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Doctolib</w:t>
            </w:r>
          </w:p>
        </w:tc>
        <w:tc>
          <w:tcPr>
            <w:tcW w:type="dxa" w:w="2200"/>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Qare</w:t>
            </w:r>
          </w:p>
        </w:tc>
        <w:tc>
          <w:tcPr>
            <w:tcW w:type="dxa" w:w="2226"/>
            <w:shd w:fill="0D2B5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Néré</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Authentification</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Email/mdp + 2FA optionnel</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OAuth2 + 2FA</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JWT + 2FA TOTP obligatoire pour médecins</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Pré-triage IA</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Questionnaire symptômes</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IA propriétaire</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GPT-4o mini avec niveau urgence</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Paiement</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Carte bancaire européenne</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Carte + virement</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CinetPay (Mobile Money africain) + Stripe</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Téléconsultation</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WebRTC propriétaire</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WebRTC</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WebRTC P2P + serveur TURN</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Transcription IA</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Non documenté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Non documenté</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Whisper STT en temps réel (parallèle)</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Anti-double RDV</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Verrou applicatif</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Verrou applicatif</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Index UNIQUE PARTIEL PostgreSQL</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Ordonnance</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PDF signé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PDF signé</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PDF + QR Code + code pharmacie + SHA-256</w:t>
            </w:r>
          </w:p>
        </w:tc>
      </w:tr>
      <w:tr>
        <w:tc>
          <w:tcPr>
            <w:tcW w:type="dxa" w:w="2400"/>
            <w:shd w:fill="EEF2FF" w:val="clear"/>
            <w:tcMar>
              <w:top w:type="dxa" w:w="90"/>
              <w:left w:type="dxa" w:w="130"/>
              <w:bottom w:type="dxa" w:w="90"/>
              <w:right w:type="dxa" w:w="130"/>
            </w:tcMar>
            <w:vAlign w:val="center"/>
          </w:tcPr>
          <w:p>
            <w:pPr>
              <w:jc w:val="left"/>
            </w:pPr>
            <w:r>
              <w:rPr>
                <w:rFonts w:ascii="Arial" w:cs="Arial" w:eastAsia="Arial" w:hAnsi="Arial"/>
                <w:b/>
                <w:bCs/>
                <w:color w:val="0D2B5E"/>
                <w:sz w:val="18"/>
                <w:szCs w:val="18"/>
              </w:rPr>
              <w:t xml:space="preserve">Audit / Traçabilité</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Logs applicatifs</w:t>
            </w:r>
          </w:p>
        </w:tc>
        <w:tc>
          <w:tcPr>
            <w:tcW w:type="dxa" w:w="2200"/>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B7280"/>
                <w:sz w:val="17"/>
                <w:szCs w:val="17"/>
              </w:rPr>
              <w:t xml:space="preserve">Non documenté</w:t>
            </w:r>
          </w:p>
        </w:tc>
        <w:tc>
          <w:tcPr>
            <w:tcW w:type="dxa" w:w="2226"/>
            <w:shd w:fill="DBEAFE" w:val="clear"/>
            <w:tcMar>
              <w:top w:type="dxa" w:w="90"/>
              <w:left w:type="dxa" w:w="130"/>
              <w:bottom w:type="dxa" w:w="90"/>
              <w:right w:type="dxa" w:w="130"/>
            </w:tcMar>
            <w:vAlign w:val="center"/>
          </w:tcPr>
          <w:p>
            <w:pPr>
              <w:jc w:val="left"/>
            </w:pPr>
            <w:r>
              <w:rPr>
                <w:rFonts w:ascii="Arial" w:cs="Arial" w:eastAsia="Arial" w:hAnsi="Arial"/>
                <w:b w:val="false"/>
                <w:bCs w:val="false"/>
                <w:color w:val="1D4ED8"/>
                <w:sz w:val="17"/>
                <w:szCs w:val="17"/>
              </w:rPr>
              <w:t xml:space="preserve">audit_logs immuable + triggers PostgreSQL</w:t>
            </w:r>
          </w:p>
        </w:tc>
      </w:tr>
    </w:tbl>
    <w:p>
      <w:pPr>
        <w:spacing w:after="160"/>
      </w:pPr>
      <w:r>
        <w:t xml:space="preserve"/>
      </w:r>
    </w:p>
    <w:p>
      <w:pPr>
        <w:pBdr>
          <w:left w:val="single" w:color="15803D" w:sz="14" w:space="10"/>
        </w:pBdr>
        <w:shd w:fill="DCFCE7" w:val="clear"/>
        <w:spacing w:before="80" w:after="80"/>
        <w:ind w:left="220" w:right="120"/>
      </w:pPr>
      <w:r>
        <w:rPr>
          <w:rFonts w:ascii="Arial" w:cs="Arial" w:eastAsia="Arial" w:hAnsi="Arial"/>
          <w:b/>
          <w:bCs/>
          <w:color w:val="15803D"/>
          <w:sz w:val="19"/>
          <w:szCs w:val="19"/>
        </w:rPr>
        <w:t xml:space="preserve">✓  Néré se distingue par son adaptation au contexte camerounais (Mobile Money, bande passante limitée, WebRTC adaptatif) et par des mécanismes de sécurité supplémentaires (audit immuable par triggers, ordonnance anti-falsification, chiffrement AES-256 des messages).</w:t>
      </w:r>
    </w:p>
    <w:p>
      <w:pPr>
        <w:spacing w:after="160"/>
      </w:pPr>
      <w:r>
        <w:t xml:space="preserve"/>
      </w:r>
    </w:p>
    <w:p>
      <w:pPr>
        <w:shd w:fill="0D2B5E" w:val="clear"/>
        <w:spacing w:before="240" w:after="200"/>
      </w:pPr>
      <w:r>
        <w:rPr>
          <w:rFonts w:ascii="Arial" w:cs="Arial" w:eastAsia="Arial" w:hAnsi="Arial"/>
          <w:b/>
          <w:bCs/>
          <w:color w:val="FFFFFF"/>
          <w:sz w:val="30"/>
          <w:szCs w:val="30"/>
        </w:rPr>
        <w:t xml:space="preserve">   CONCLUSION — CE QUE CE DIAGRAMME DÉMONTRE</w:t>
      </w:r>
    </w:p>
    <w:p>
      <w:pPr>
        <w:spacing w:after="120"/>
      </w:pPr>
      <w:r>
        <w:t xml:space="preserve"/>
      </w:r>
    </w:p>
    <w:p>
      <w:pPr>
        <w:spacing w:after="100" w:line="276"/>
        <w:jc w:val="both"/>
      </w:pPr>
      <w:r>
        <w:rPr>
          <w:rFonts w:ascii="Arial" w:cs="Arial" w:eastAsia="Arial" w:hAnsi="Arial"/>
          <w:color w:val="111827"/>
          <w:sz w:val="20"/>
          <w:szCs w:val="20"/>
        </w:rPr>
        <w:t xml:space="preserve">Le diagramme de séquence de Néré est la preuve technique que le système est conçu selon les standards de l'industrie médicale numérique mondiale. En 48 messages répartis sur 4 phases, il documente l'intégralité du parcours patient — de la connexion sécurisée jusqu'à l'ordonnance numérique — avec une rigueur architecturale comparable aux leaders du secteur.</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Architecture multi-couches : séparation stricte entre interface, API, base de données et services externes.</w:t>
      </w:r>
    </w:p>
    <w:p>
      <w:pPr>
        <w:pStyle w:val="ListParagraph"/>
        <w:numPr>
          <w:ilvl w:val="0"/>
          <w:numId w:val="2"/>
        </w:numPr>
        <w:spacing w:after="80"/>
      </w:pPr>
      <w:r>
        <w:rPr>
          <w:rFonts w:ascii="Arial" w:cs="Arial" w:eastAsia="Arial" w:hAnsi="Arial"/>
          <w:color w:val="111827"/>
          <w:sz w:val="20"/>
          <w:szCs w:val="20"/>
        </w:rPr>
        <w:t xml:space="preserve">Sécurité en profondeur : JWT + 2FA + HTTPS + HMAC + AES-256 + audit immuable — chaque couche protège la suivante.</w:t>
      </w:r>
    </w:p>
    <w:p>
      <w:pPr>
        <w:pStyle w:val="ListParagraph"/>
        <w:numPr>
          <w:ilvl w:val="0"/>
          <w:numId w:val="2"/>
        </w:numPr>
        <w:spacing w:after="80"/>
      </w:pPr>
      <w:r>
        <w:rPr>
          <w:rFonts w:ascii="Arial" w:cs="Arial" w:eastAsia="Arial" w:hAnsi="Arial"/>
          <w:color w:val="111827"/>
          <w:sz w:val="20"/>
          <w:szCs w:val="20"/>
        </w:rPr>
        <w:t xml:space="preserve">Expérience utilisateur : appels asynchrones systématiques (Celery) pour des temps de réponse &lt; 200ms même sur réseau 3G.</w:t>
      </w:r>
    </w:p>
    <w:p>
      <w:pPr>
        <w:pStyle w:val="ListParagraph"/>
        <w:numPr>
          <w:ilvl w:val="0"/>
          <w:numId w:val="2"/>
        </w:numPr>
        <w:spacing w:after="80"/>
      </w:pPr>
      <w:r>
        <w:rPr>
          <w:rFonts w:ascii="Arial" w:cs="Arial" w:eastAsia="Arial" w:hAnsi="Arial"/>
          <w:color w:val="111827"/>
          <w:sz w:val="20"/>
          <w:szCs w:val="20"/>
        </w:rPr>
        <w:t xml:space="preserve">Résilience : auto-save toutes les 30s, verrous transactionnels, statuts intermédiaires — le système résiste aux pannes réseau.</w:t>
      </w:r>
    </w:p>
    <w:p>
      <w:pPr>
        <w:pStyle w:val="ListParagraph"/>
        <w:numPr>
          <w:ilvl w:val="0"/>
          <w:numId w:val="2"/>
        </w:numPr>
        <w:spacing w:after="80"/>
      </w:pPr>
      <w:r>
        <w:rPr>
          <w:rFonts w:ascii="Arial" w:cs="Arial" w:eastAsia="Arial" w:hAnsi="Arial"/>
          <w:color w:val="111827"/>
          <w:sz w:val="20"/>
          <w:szCs w:val="20"/>
        </w:rPr>
        <w:t xml:space="preserve">Conformité médicale : transcription Whisper, compte-rendu structuré, code CIM-10 OMS, ordonnance anti-falsification — tout est traçable et légalement défendable.</w:t>
      </w:r>
    </w:p>
    <w:p>
      <w:pPr>
        <w:pStyle w:val="ListParagraph"/>
        <w:numPr>
          <w:ilvl w:val="0"/>
          <w:numId w:val="2"/>
        </w:numPr>
        <w:spacing w:after="80"/>
      </w:pPr>
      <w:r>
        <w:rPr>
          <w:rFonts w:ascii="Arial" w:cs="Arial" w:eastAsia="Arial" w:hAnsi="Arial"/>
          <w:color w:val="111827"/>
          <w:sz w:val="20"/>
          <w:szCs w:val="20"/>
        </w:rPr>
        <w:t xml:space="preserve">Adaptation africaine : CinetPay Mobile Money, WebRTC adaptatif à la bande passante, faible consommation de données côté client.</w:t>
      </w:r>
    </w:p>
    <w:p>
      <w:pPr>
        <w:spacing w:after="160"/>
      </w:pPr>
      <w:r>
        <w:t xml:space="preserve"/>
      </w:r>
    </w:p>
    <w:p>
      <w:pPr>
        <w:jc w:val="center"/>
      </w:pPr>
      <w:r>
        <w:rPr>
          <w:rFonts w:ascii="Arial" w:cs="Arial" w:eastAsia="Arial" w:hAnsi="Arial"/>
          <w:color w:val="1D4ED8"/>
          <w:sz w:val="20"/>
          <w:szCs w:val="20"/>
        </w:rPr>
        <w:t xml:space="preserve">────────────────────────────────────────────────────────────────</w:t>
      </w:r>
    </w:p>
    <w:p>
      <w:pPr>
        <w:spacing w:after="80"/>
      </w:pPr>
      <w:r>
        <w:t xml:space="preserve"/>
      </w:r>
    </w:p>
    <w:p>
      <w:pPr>
        <w:jc w:val="center"/>
      </w:pPr>
      <w:r>
        <w:rPr>
          <w:rFonts w:ascii="Arial" w:cs="Arial" w:eastAsia="Arial" w:hAnsi="Arial"/>
          <w:i/>
          <w:iCs/>
          <w:color w:val="6B7280"/>
          <w:sz w:val="18"/>
          <w:szCs w:val="18"/>
        </w:rPr>
        <w:t xml:space="preserve">Projet Néré  ·  Plateforme Numérique de Santé  ·  Cameroun  ·  2025</w:t>
      </w:r>
    </w:p>
    <w:sectPr>
      <w:headerReference w:type="default" r:id="rId6"/>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right"/>
    </w:pPr>
    <w:r>
      <w:rPr>
        <w:rFonts w:ascii="Arial" w:cs="Arial" w:eastAsia="Arial" w:hAnsi="Arial"/>
        <w:color w:val="6B7280"/>
        <w:sz w:val="17"/>
        <w:szCs w:val="17"/>
      </w:rPr>
      <w:t xml:space="preserve">Néré — Diagramme de Séquence — Analyse Complète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jc w:val="left"/>
    </w:pPr>
    <w:r>
      <w:rPr>
        <w:rFonts w:ascii="Arial" w:cs="Arial" w:eastAsia="Arial" w:hAnsi="Arial"/>
        <w:b/>
        <w:bCs/>
        <w:color w:val="1D4ED8"/>
        <w:sz w:val="18"/>
        <w:szCs w:val="18"/>
      </w:rPr>
      <w:t xml:space="preserve">NÉRÉ — Explication Professionnelle Complète du Diagramme de Séquence UML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5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01a0c36d199b5503eae6baa0fd32b638993d5d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2026-03-15T14:24:40.621Z</dcterms:created>
  <dcterms:modified xsi:type="dcterms:W3CDTF">2026-03-15T14:24:40.622Z</dcterms:modified>
</cp:coreProperties>
</file>

<file path=docProps/custom.xml><?xml version="1.0" encoding="utf-8"?>
<Properties xmlns="http://schemas.openxmlformats.org/officeDocument/2006/custom-properties" xmlns:vt="http://schemas.openxmlformats.org/officeDocument/2006/docPropsVTypes"/>
</file>