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American Dream Benefits Program | System Rules v3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646464"/>
          <w:sz w:val="18"/>
        </w:rPr>
        <w:t>Confidential | March 2026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646464"/>
          <w:sz w:val="18"/>
        </w:rPr>
        <w:t>Status: Updated to reflect confirmed model mechanics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2"/>
      </w:pPr>
      <w:r>
        <w:rPr>
          <w:rFonts w:ascii="Calibri" w:hAnsi="Calibri"/>
          <w:color w:val="000000"/>
          <w:sz w:val="24"/>
        </w:rPr>
        <w:t>Introduction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Goal</w:t>
      </w:r>
      <w:r>
        <w:rPr>
          <w:rFonts w:ascii="Calibri" w:hAnsi="Calibri"/>
          <w:b w:val="0"/>
          <w:i w:val="0"/>
          <w:sz w:val="20"/>
        </w:rPr>
        <w:t xml:space="preserve"> Restore the American Dream — enable families to thrive on one job / one income again, without needing two incomes, debt, or constant financial pressure.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American Dream Benefits Program is a third-party consumer discount platform with voluntary payroll facilitation that delivers substantial purchasing power for essentials.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Core Mechanism</w:t>
      </w:r>
      <w:r>
        <w:rPr>
          <w:rFonts w:ascii="Calibri" w:hAnsi="Calibri"/>
          <w:b w:val="0"/>
          <w:i w:val="0"/>
          <w:sz w:val="20"/>
        </w:rPr>
        <w:t xml:space="preserve"> A closed-loop discount-credit system powered by Solana blockchain. Employees voluntarily purchase Discount Credits (utility tokens) with after-tax dollars.</w:t>
      </w:r>
    </w:p>
    <w:p>
      <w:pPr>
        <w:spacing w:after="120"/>
        <w:ind w:left="576" w:right="576"/>
        <w:pBdr>
          <w:left w:val="single" w:sz="12" w:space="12" w:color="AAAAAA"/>
        </w:pBdr>
      </w:pPr>
      <w:r>
        <w:rPr>
          <w:rFonts w:ascii="Calibri" w:hAnsi="Calibri"/>
          <w:b w:val="0"/>
          <w:i/>
          <w:sz w:val="20"/>
        </w:rPr>
        <w:t>$1 = 1 credit = $2 in purchasing power at participating essential vendors (50% discount)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2"/>
      </w:pPr>
      <w:r>
        <w:rPr>
          <w:rFonts w:ascii="Calibri" w:hAnsi="Calibri"/>
          <w:color w:val="000000"/>
          <w:sz w:val="24"/>
        </w:rPr>
        <w:t>Program Participants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sz w:val="20"/>
        </w:rPr>
        <w:t>Vendors</w:t>
      </w:r>
      <w:r>
        <w:rPr>
          <w:rFonts w:ascii="Calibri" w:hAnsi="Calibri"/>
          <w:b w:val="0"/>
          <w:i w:val="0"/>
          <w:sz w:val="20"/>
        </w:rPr>
        <w:t xml:space="preserve"> — essential businesses (groceries, utilities, rent, gas, etc.) that participate, employ participating employees, accept &amp; recirculate credits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sz w:val="20"/>
        </w:rPr>
        <w:t>Employers</w:t>
      </w:r>
      <w:r>
        <w:rPr>
          <w:rFonts w:ascii="Calibri" w:hAnsi="Calibri"/>
          <w:b w:val="0"/>
          <w:i w:val="0"/>
          <w:sz w:val="20"/>
        </w:rPr>
        <w:t xml:space="preserve"> — businesses that participate, employ participating employees, accept &amp; recirculate credits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sz w:val="20"/>
        </w:rPr>
        <w:t>Employees</w:t>
      </w:r>
      <w:r>
        <w:rPr>
          <w:rFonts w:ascii="Calibri" w:hAnsi="Calibri"/>
          <w:b w:val="0"/>
          <w:i w:val="0"/>
          <w:sz w:val="20"/>
        </w:rPr>
        <w:t xml:space="preserve"> — any person working for a participating employer who voluntarily participates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sz w:val="20"/>
        </w:rPr>
        <w:t>Program</w:t>
      </w:r>
      <w:r>
        <w:rPr>
          <w:rFonts w:ascii="Calibri" w:hAnsi="Calibri"/>
          <w:b w:val="0"/>
          <w:i w:val="0"/>
          <w:sz w:val="20"/>
        </w:rPr>
        <w:t xml:space="preserve"> — operates the Solana smart contracts, treasury, and platform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2"/>
      </w:pPr>
      <w:r>
        <w:rPr>
          <w:rFonts w:ascii="Calibri" w:hAnsi="Calibri"/>
          <w:color w:val="000000"/>
          <w:sz w:val="24"/>
        </w:rPr>
        <w:t>System Rules</w:t>
      </w:r>
    </w:p>
    <w:p>
      <w:pPr>
        <w:pStyle w:val="Heading3"/>
      </w:pPr>
      <w:r>
        <w:rPr>
          <w:rFonts w:ascii="Calibri" w:hAnsi="Calibri"/>
          <w:color w:val="000000"/>
          <w:sz w:val="20"/>
        </w:rPr>
        <w:t>Credit Purchase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Employees purchase credits post-tax via embedded fiat on-ramp (bank card, ACH, Apple Pay)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sz w:val="20"/>
        </w:rPr>
        <w:t>$1.00 paid by employee = 1 credit minted = $2.00 purchasing power at vendors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The full </w:t>
      </w:r>
      <w:r>
        <w:rPr>
          <w:rFonts w:ascii="Calibri" w:hAnsi="Calibri"/>
          <w:b/>
          <w:i w:val="0"/>
          <w:sz w:val="20"/>
        </w:rPr>
        <w:t>$1.00 purchase price flows to the treasury</w:t>
      </w:r>
      <w:r>
        <w:rPr>
          <w:rFonts w:ascii="Calibri" w:hAnsi="Calibri"/>
          <w:b w:val="0"/>
          <w:i w:val="0"/>
          <w:sz w:val="20"/>
        </w:rPr>
        <w:t xml:space="preserve"> — this is the primary funding mechanism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Employees are limited to </w:t>
      </w:r>
      <w:r>
        <w:rPr>
          <w:rFonts w:ascii="Calibri" w:hAnsi="Calibri"/>
          <w:b/>
          <w:i w:val="0"/>
          <w:sz w:val="20"/>
        </w:rPr>
        <w:t>5,000 credits per month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No general cash redemption — credits are non-redeemable for cash and stay in the closed loop</w:t>
      </w:r>
    </w:p>
    <w:p>
      <w:pPr>
        <w:pStyle w:val="Heading3"/>
      </w:pPr>
      <w:r>
        <w:rPr>
          <w:rFonts w:ascii="Calibri" w:hAnsi="Calibri"/>
          <w:color w:val="000000"/>
          <w:sz w:val="20"/>
        </w:rPr>
        <w:t>Admin Revenue Pool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A </w:t>
      </w:r>
      <w:r>
        <w:rPr>
          <w:rFonts w:ascii="Calibri" w:hAnsi="Calibri"/>
          <w:b/>
          <w:i w:val="0"/>
          <w:sz w:val="20"/>
        </w:rPr>
        <w:t>10% fee</w:t>
      </w:r>
      <w:r>
        <w:rPr>
          <w:rFonts w:ascii="Calibri" w:hAnsi="Calibri"/>
          <w:b w:val="0"/>
          <w:i w:val="0"/>
          <w:sz w:val="20"/>
        </w:rPr>
        <w:t xml:space="preserve"> on all credit purchases is collected as admin revenue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At $1.00/credit, this equals $0.10 per credit minted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This fee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flow to the treasury — it is tracked and distributed separately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Distribution is </w:t>
      </w:r>
      <w:r>
        <w:rPr>
          <w:rFonts w:ascii="Calibri" w:hAnsi="Calibri"/>
          <w:b/>
          <w:i w:val="0"/>
          <w:sz w:val="20"/>
        </w:rPr>
        <w:t>pro-rata by recirculation share</w:t>
      </w:r>
      <w:r>
        <w:rPr>
          <w:rFonts w:ascii="Calibri" w:hAnsi="Calibri"/>
          <w:b w:val="0"/>
          <w:i w:val="0"/>
          <w:sz w:val="20"/>
        </w:rPr>
        <w:t>: the more credits a vendor or employer recirculates within the network, the larger their share of the admin revenue pool</w:t>
      </w:r>
    </w:p>
    <w:p>
      <w:pPr>
        <w:spacing w:after="120"/>
        <w:ind w:left="576" w:right="576"/>
        <w:pBdr>
          <w:left w:val="single" w:sz="12" w:space="12" w:color="AAAAAA"/>
        </w:pBdr>
      </w:pPr>
      <w:r>
        <w:rPr>
          <w:rFonts w:ascii="Calibri" w:hAnsi="Calibri"/>
          <w:b/>
          <w:i/>
          <w:sz w:val="20"/>
        </w:rPr>
        <w:t>Why pro-rata?</w:t>
      </w:r>
      <w:r>
        <w:rPr>
          <w:rFonts w:ascii="Calibri" w:hAnsi="Calibri"/>
          <w:b w:val="0"/>
          <w:i/>
          <w:sz w:val="20"/>
        </w:rPr>
        <w:t xml:space="preserve"> It directly incentivizes recirculation — participants who actively move credits through the network earn proportionally more. A vendor recirculating 10% of total credits earns 10% of the admin pool.</w:t>
      </w:r>
    </w:p>
    <w:p>
      <w:pPr>
        <w:pStyle w:val="Heading3"/>
      </w:pPr>
      <w:r>
        <w:rPr>
          <w:rFonts w:ascii="Calibri" w:hAnsi="Calibri"/>
          <w:color w:val="000000"/>
          <w:sz w:val="20"/>
        </w:rPr>
        <w:t>Recirculation Rules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Vendors decide the maximum credits they accept in a 12-month period (their recirculation %)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Employers and vendors recirculate credits for any of their expenses </w:t>
      </w:r>
      <w:r>
        <w:rPr>
          <w:rFonts w:ascii="Calibri" w:hAnsi="Calibri"/>
          <w:b/>
          <w:i w:val="0"/>
          <w:sz w:val="20"/>
        </w:rPr>
        <w:t>except</w:t>
      </w:r>
      <w:r>
        <w:rPr>
          <w:rFonts w:ascii="Calibri" w:hAnsi="Calibri"/>
          <w:b w:val="0"/>
          <w:i w:val="0"/>
          <w:sz w:val="20"/>
        </w:rPr>
        <w:t xml:space="preserve"> payroll and taxes — creating an accounting wash ($X foregone income offset by $X saved)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alibri" w:hAnsi="Calibri"/>
          <w:b/>
          <w:i w:val="0"/>
          <w:sz w:val="20"/>
        </w:rPr>
        <w:t>recirculation-to-mint ratio is 2:1</w:t>
      </w:r>
      <w:r>
        <w:rPr>
          <w:rFonts w:ascii="Calibri" w:hAnsi="Calibri"/>
          <w:b w:val="0"/>
          <w:i w:val="0"/>
          <w:sz w:val="20"/>
        </w:rPr>
        <w:t xml:space="preserve"> — a vendor/employer that can recirculate 100,000 credits allows their employees to mint 50,000 total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Credits are automatically recirculated at month-end on behalf of vendors and employers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Velocity is pegged at </w:t>
      </w:r>
      <w:r>
        <w:rPr>
          <w:rFonts w:ascii="Calibri" w:hAnsi="Calibri"/>
          <w:b/>
          <w:i w:val="0"/>
          <w:sz w:val="20"/>
        </w:rPr>
        <w:t>12× per year</w:t>
      </w:r>
    </w:p>
    <w:p>
      <w:pPr>
        <w:pStyle w:val="Heading3"/>
      </w:pPr>
      <w:r>
        <w:rPr>
          <w:rFonts w:ascii="Calibri" w:hAnsi="Calibri"/>
          <w:color w:val="000000"/>
          <w:sz w:val="20"/>
        </w:rPr>
        <w:t>Burn Mechanic (Discretionary)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Burns are </w:t>
      </w:r>
      <w:r>
        <w:rPr>
          <w:rFonts w:ascii="Calibri" w:hAnsi="Calibri"/>
          <w:b/>
          <w:i w:val="0"/>
          <w:sz w:val="20"/>
        </w:rPr>
        <w:t>manual and discretionary</w:t>
      </w:r>
      <w:r>
        <w:rPr>
          <w:rFonts w:ascii="Calibri" w:hAnsi="Calibri"/>
          <w:b w:val="0"/>
          <w:i w:val="0"/>
          <w:sz w:val="20"/>
        </w:rPr>
        <w:t xml:space="preserve"> — no automatic per-transaction burn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 xml:space="preserve">The treasury pays </w:t>
      </w:r>
      <w:r>
        <w:rPr>
          <w:rFonts w:ascii="Calibri" w:hAnsi="Calibri"/>
          <w:b/>
          <w:i w:val="0"/>
          <w:sz w:val="20"/>
        </w:rPr>
        <w:t>$2.00 per credit burned</w:t>
      </w:r>
      <w:r>
        <w:rPr>
          <w:rFonts w:ascii="Calibri" w:hAnsi="Calibri"/>
          <w:b w:val="0"/>
          <w:i w:val="0"/>
          <w:sz w:val="20"/>
        </w:rPr>
        <w:t xml:space="preserve"> (the $2 fair market value of the credit)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Burns are threshold-triggered: a burn is authorized when the backing ratio (treasury_wallet / total_credits) exceeds a target threshold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sz w:val="20"/>
        </w:rPr>
        <w:t>Affordability cap:</w:t>
      </w:r>
      <w:r>
        <w:rPr>
          <w:rFonts w:ascii="Calibri" w:hAnsi="Calibri"/>
          <w:b w:val="0"/>
          <w:i w:val="0"/>
          <w:sz w:val="20"/>
        </w:rPr>
        <w:t xml:space="preserve"> post-burn backing ratio must never fall below the 50% floor</w:t>
      </w:r>
    </w:p>
    <w:p>
      <w:pPr>
        <w:spacing w:after="40"/>
        <w:ind w:left="576"/>
      </w:pPr>
      <w:r>
        <w:rPr>
          <w:rFonts w:ascii="Courier New" w:hAnsi="Courier New"/>
          <w:color w:val="323296"/>
          <w:sz w:val="18"/>
        </w:rPr>
        <w:t>Cap formula: max_burnable = (wallet − 0.50 × total_credits) / (2.00 − 0.50)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i w:val="0"/>
          <w:sz w:val="20"/>
        </w:rPr>
        <w:t>MC-optimal strategy</w:t>
      </w:r>
      <w:r>
        <w:rPr>
          <w:rFonts w:ascii="Calibri" w:hAnsi="Calibri"/>
          <w:b w:val="0"/>
          <w:i w:val="0"/>
          <w:sz w:val="20"/>
        </w:rPr>
        <w:t xml:space="preserve"> (confirmed via 20,000-run Monte Carlo):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0"/>
        </w:rPr>
        <w:t>Trigger: backing ≥ 114.6%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0"/>
        </w:rPr>
        <w:t>Size: 30.2% of outstanding credits per event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0"/>
        </w:rPr>
        <w:t>Cooldown: 8 months minimum between burns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0"/>
        </w:rPr>
        <w:t>First eligible: month 13 (ramp-up protection)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0"/>
        </w:rPr>
        <w:t>Result: 1 burn event over 10 years, 30.2% of credits destroyed, 77.7% final backing (HEALTHY)</w:t>
      </w:r>
    </w:p>
    <w:p>
      <w:pPr>
        <w:spacing w:after="120"/>
        <w:ind w:left="576" w:right="576"/>
        <w:pBdr>
          <w:left w:val="single" w:sz="12" w:space="12" w:color="AAAAAA"/>
        </w:pBdr>
      </w:pPr>
      <w:r>
        <w:rPr>
          <w:rFonts w:ascii="Calibri" w:hAnsi="Calibri"/>
          <w:b/>
          <w:i/>
          <w:sz w:val="20"/>
        </w:rPr>
        <w:t>Why $2/credit?</w:t>
      </w:r>
      <w:r>
        <w:rPr>
          <w:rFonts w:ascii="Calibri" w:hAnsi="Calibri"/>
          <w:b w:val="0"/>
          <w:i/>
          <w:sz w:val="20"/>
        </w:rPr>
        <w:t xml:space="preserve"> The credit provides $2 of purchasing power. Burning a credit extinguishes a $2 obligation. The treasury pays $2 to retire $1 of face-value liability — the difference is the amplification cost built into the burn mechanism.</w:t>
      </w:r>
    </w:p>
    <w:p>
      <w:pPr>
        <w:pStyle w:val="Heading3"/>
      </w:pPr>
      <w:r>
        <w:rPr>
          <w:rFonts w:ascii="Calibri" w:hAnsi="Calibri"/>
          <w:color w:val="000000"/>
          <w:sz w:val="20"/>
        </w:rPr>
        <w:t>Treasury Mechanics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F2F2F2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rFonts w:ascii="Calibri" w:hAnsi="Calibri"/>
                <w:b/>
                <w:sz w:val="18"/>
              </w:rPr>
              <w:t>Direction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18"/>
              </w:rPr>
              <w:t>Credit purchase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8"/>
              </w:rPr>
              <w:t>$1.00/credit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sz w:val="18"/>
              </w:rPr>
              <w:t>→ Treasury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18"/>
              </w:rPr>
              <w:t>Interest income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8"/>
              </w:rPr>
              <w:t>4% APR on wallet balance (monthly)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sz w:val="18"/>
              </w:rPr>
              <w:t>→ Treasury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18"/>
              </w:rPr>
              <w:t>Burn event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8"/>
              </w:rPr>
              <w:t>$2.00/credit burned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sz w:val="18"/>
              </w:rPr>
              <w:t>← Treasury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18"/>
              </w:rPr>
              <w:t>Admin fee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8"/>
              </w:rPr>
              <w:t>$0.10/credit (10%)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sz w:val="18"/>
              </w:rPr>
              <w:t>→ Admin pool (separate)</w:t>
            </w:r>
          </w:p>
        </w:tc>
      </w:tr>
    </w:tbl>
    <w:p/>
    <w:p>
      <w:pPr>
        <w:spacing w:after="40"/>
        <w:ind w:left="576"/>
      </w:pPr>
      <w:r>
        <w:rPr>
          <w:rFonts w:ascii="Courier New" w:hAnsi="Courier New"/>
          <w:color w:val="323296"/>
          <w:sz w:val="18"/>
        </w:rPr>
        <w:t>Interest timing: wallet[t] = wallet[t-1] + interest[t-1] + inflow[t]</w:t>
      </w:r>
    </w:p>
    <w:p>
      <w:pPr>
        <w:spacing w:after="40"/>
        <w:ind w:left="576"/>
      </w:pPr>
      <w:r>
        <w:rPr>
          <w:rFonts w:ascii="Courier New" w:hAnsi="Courier New"/>
          <w:color w:val="323296"/>
          <w:sz w:val="18"/>
        </w:rPr>
        <w:t>Then: interest[t] = wallet[t] × (0.04 / 12)</w:t>
      </w:r>
    </w:p>
    <w:p>
      <w:pPr>
        <w:pStyle w:val="Heading3"/>
      </w:pPr>
      <w:r>
        <w:rPr>
          <w:rFonts w:ascii="Calibri" w:hAnsi="Calibri"/>
          <w:color w:val="000000"/>
          <w:sz w:val="20"/>
        </w:rPr>
        <w:t>Solvency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F2F2F2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Calibri" w:hAnsi="Calibri"/>
                <w:b/>
                <w:sz w:val="18"/>
              </w:rPr>
              <w:t>Backing Ratio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Calibri" w:hAnsi="Calibri"/>
                <w:b/>
                <w:sz w:val="18"/>
              </w:rPr>
              <w:t>Definition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18"/>
              </w:rPr>
              <w:t>HEALTHY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8"/>
              </w:rPr>
              <w:t>≥ 75%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18"/>
              </w:rPr>
              <w:t>Treasury holds ≥ $0.75 per $1 of credit outstanding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8"/>
              </w:rPr>
              <w:t>50% – 74%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18"/>
              </w:rPr>
              <w:t>Solvent but under pressure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18"/>
              </w:rPr>
              <w:t>FAILURE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8"/>
              </w:rPr>
              <w:t>&lt; 50%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sz w:val="18"/>
              </w:rPr>
              <w:t>Treasury cannot cover basic obligations</w:t>
            </w:r>
          </w:p>
        </w:tc>
      </w:tr>
    </w:tbl>
    <w:p/>
    <w:p>
      <w:pPr>
        <w:spacing w:after="40"/>
        <w:ind w:left="576"/>
      </w:pPr>
      <w:r>
        <w:rPr>
          <w:rFonts w:ascii="Courier New" w:hAnsi="Courier New"/>
          <w:color w:val="323296"/>
          <w:sz w:val="18"/>
        </w:rPr>
        <w:t>Primary metric: backing_ratio = treasury_wallet / total_credits_outstanding</w:t>
      </w:r>
    </w:p>
    <w:p>
      <w:pPr>
        <w:spacing w:after="40"/>
        <w:ind w:left="576"/>
      </w:pPr>
      <w:r>
        <w:rPr>
          <w:rFonts w:ascii="Courier New" w:hAnsi="Courier New"/>
          <w:color w:val="323296"/>
          <w:sz w:val="18"/>
        </w:rPr>
        <w:t>Secondary metric: burn_coverage = treasury_wallet / (total_credits × $2.00)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2"/>
      </w:pPr>
      <w:r>
        <w:rPr>
          <w:rFonts w:ascii="Calibri" w:hAnsi="Calibri"/>
          <w:color w:val="000000"/>
          <w:sz w:val="24"/>
        </w:rPr>
        <w:t>Recirculation Flywheel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Employee buys credits → smart contract mints tokens → $1/credit to treasury → $0.10/credit to escrow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Employee spends at vendors → 50% discount applied (2× amplification)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Vendor receives tokens → recirculates to suppliers, utilities, etc.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Loop continues at 12× annual velocity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No credits exit for cash, ever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Admin revenue pool distributed monthly pro-rata by recirculation share from escrow wallet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Essential Businesses (Vendors)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Health Insurance Providers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Gas Stations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Grocery Stores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Rental Housing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Internet Service Provider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Electric and Gas Utilities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Water Utilities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Childcare Facilities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Car Service (Repairs)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2"/>
      </w:pPr>
      <w:r>
        <w:rPr>
          <w:rFonts w:ascii="Calibri" w:hAnsi="Calibri"/>
          <w:color w:val="000000"/>
          <w:sz w:val="24"/>
        </w:rPr>
        <w:t>Compliance &amp; Regulatory Posture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Non-custodial utility token on Solana (closed-loop discount access).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No private currency risk under Stamp Payments Act (§ 486) - decentralized, no centralized issuer. Credits are utility tokens in a closed-loop system, non-redeemable for cash, decentralized on Solana, and not intended as general currency. 2026 guidance on tokenized assets distinguishes utility tokens from scrip if they are platform-specific and non-convertible. The GENIUS Act (2025) for stable coins explicitly exempts non-currency digital assets, reinforcing this.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No ERISA risk - third-party platform, not employer-sponsored. No welfare benefit triggers like health insurance or childcare. Vendors and employers earn a fair market value fixed admin fee for offering a discount and recirculating credits.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No money transmission / CVC risk - MSB partner handles fiat entry. Per FinCEN’s longstanding guidance, convertible virtual currency (CVC) is virtual currency that either has an equivalent value in real currency or acts as a substitute for it. Closed-loop systems where credits cannot exit for cash are explicitly distinguished from CVC.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No private scrip risk - the Stamp Payments Act targets private currencies that compete with fiat, not closed-loop discounts. Decentralized, blockchain-based utility tokens without cash equivalence or broad circulation are generally exempt. Credits recirculate indefinitely but only for essentials among participants - no public circulation or fiat substitution outside the loop. The decentralized design (no central issuer) further reduces risk.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Barter tax compliance - automated 1099-B reporting at $2 FMV per credit.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Regional launch - NJ to start with regional expansion as the business grows.</w:t>
      </w:r>
    </w:p>
    <w:p>
      <w:pPr>
        <w:pStyle w:val="Heading2"/>
      </w:pPr>
      <w:r>
        <w:rPr>
          <w:rFonts w:ascii="Calibri" w:hAnsi="Calibri"/>
          <w:color w:val="000000"/>
          <w:sz w:val="24"/>
        </w:rPr>
        <w:t>Bottom Line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One job. One family. One future. A win-win system that can turn a $60,000 salary into a potential $120,000 of essential purchasing power while financially incentivizing the vendor or employer - powered by Solana blockchain, modern UX, and built-in compliance.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Ready to launch regionally and scale responsibly.</w:t>
      </w:r>
    </w:p>
    <w:p/>
    <w:p>
      <w:pPr>
        <w:jc w:val="center"/>
      </w:pPr>
      <w:r>
        <w:rPr>
          <w:rFonts w:ascii="Calibri" w:hAnsi="Calibri"/>
          <w:b w:val="0"/>
          <w:i w:val="0"/>
          <w:color w:val="828282"/>
          <w:sz w:val="16"/>
        </w:rPr>
        <w:t>American Dream Benefits Program  |  Confidential — Attorney Review Copy  |  March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