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F3864"/>
        </w:rPr>
        <w:t>ADBP Model Research Findings</w:t>
      </w:r>
    </w:p>
    <w:p>
      <w:pPr>
        <w:jc w:val="center"/>
      </w:pPr>
      <w:r>
        <w:rPr>
          <w:i/>
          <w:color w:val="606060"/>
          <w:sz w:val="22"/>
        </w:rPr>
        <w:t>Monte Carlo &amp; Advanced Simulation Campaign  —  March 2026</w:t>
      </w:r>
    </w:p>
    <w:p/>
    <w:p>
      <w:pPr>
        <w:pStyle w:val="Heading1"/>
      </w:pPr>
      <w:r>
        <w:t>Key Terms</w:t>
      </w:r>
    </w:p>
    <w:p>
      <w:r>
        <w:t>The following terms appear throughout this report. Brief definitions are provided for readers who are not familiar with the model mechanics.</w:t>
      </w:r>
    </w:p>
    <w:p/>
    <w:p>
      <w:pPr>
        <w:ind w:left="432"/>
      </w:pPr>
      <w:r>
        <w:rPr>
          <w:b/>
          <w:color w:val="2E74B5"/>
        </w:rPr>
        <w:t xml:space="preserve">Backing Ratio:  </w:t>
      </w:r>
      <w:r>
        <w:rPr>
          <w:i/>
          <w:color w:val="333333"/>
        </w:rPr>
        <w:t>The ratio of the treasury wallet balance to total credits outstanding. Expressed as a percentage: a backing ratio of 100% means the treasury holds $1.00 for every $1.00 of credit face value in circulation. A ratio of 133% means the treasury holds $1.33 per $1.00 of credit. This is the primary solvency metric for the system.</w:t>
      </w:r>
    </w:p>
    <w:p/>
    <w:p>
      <w:pPr>
        <w:ind w:left="432"/>
      </w:pPr>
      <w:r>
        <w:rPr>
          <w:b/>
          <w:color w:val="2E74B5"/>
        </w:rPr>
        <w:t xml:space="preserve">Treasury Wallet:  </w:t>
      </w:r>
      <w:r>
        <w:rPr>
          <w:i/>
          <w:color w:val="333333"/>
        </w:rPr>
        <w:t>The reserve fund that holds all incoming cash from credit purchases ($1.00 per credit minted) plus accrued interest. It is the source of funds for burn events. Think of it as the program's financial reserve account.</w:t>
      </w:r>
    </w:p>
    <w:p/>
    <w:p>
      <w:pPr>
        <w:ind w:left="432"/>
      </w:pPr>
      <w:r>
        <w:rPr>
          <w:b/>
          <w:color w:val="2E74B5"/>
        </w:rPr>
        <w:t xml:space="preserve">Credit:  </w:t>
      </w:r>
      <w:r>
        <w:rPr>
          <w:i/>
          <w:color w:val="333333"/>
        </w:rPr>
        <w:t>A utility token with $2.00 of purchasing power at participating vendors, purchased by employees for $1.00. Credits are not redeemable for cash — they only circulate within the closed network.</w:t>
      </w:r>
    </w:p>
    <w:p/>
    <w:p>
      <w:pPr>
        <w:ind w:left="432"/>
      </w:pPr>
      <w:r>
        <w:rPr>
          <w:b/>
          <w:color w:val="2E74B5"/>
        </w:rPr>
        <w:t xml:space="preserve">Burn Event:  </w:t>
      </w:r>
      <w:r>
        <w:rPr>
          <w:i/>
          <w:color w:val="333333"/>
        </w:rPr>
        <w:t>A discretionary action where the treasury permanently retires (destroys) a quantity of credits by paying $2.00 per credit — the fair market value. Burns reduce total credits outstanding, which reduces the system’s $2-per-credit obligation. Think of it as the program buying back and cancelling credits.</w:t>
      </w:r>
    </w:p>
    <w:p/>
    <w:p>
      <w:pPr>
        <w:ind w:left="432"/>
      </w:pPr>
      <w:r>
        <w:rPr>
          <w:b/>
          <w:color w:val="2E74B5"/>
        </w:rPr>
        <w:t xml:space="preserve">Trigger Ratio:  </w:t>
      </w:r>
      <w:r>
        <w:rPr>
          <w:i/>
          <w:color w:val="333333"/>
        </w:rPr>
        <w:t>The backing ratio threshold that authorizes a burn. If the trigger is set to 1.332×, a burn is authorized only when the treasury holds at least $1.332 per $1.00 of credit outstanding. Lower triggers fire more frequently; higher triggers fire less often but from a stronger position.</w:t>
      </w:r>
    </w:p>
    <w:p/>
    <w:p>
      <w:pPr>
        <w:ind w:left="432"/>
      </w:pPr>
      <w:r>
        <w:rPr>
          <w:b/>
          <w:color w:val="2E74B5"/>
        </w:rPr>
        <w:t xml:space="preserve">Burn Size (Burn %):  </w:t>
      </w:r>
      <w:r>
        <w:rPr>
          <w:i/>
          <w:color w:val="333333"/>
        </w:rPr>
        <w:t>The percentage of all outstanding credits that are destroyed in a single burn event. A 34.9% burn size means 34.9% of all credits in circulation are retired in one event.</w:t>
      </w:r>
    </w:p>
    <w:p/>
    <w:p>
      <w:pPr>
        <w:ind w:left="432"/>
      </w:pPr>
      <w:r>
        <w:rPr>
          <w:b/>
          <w:color w:val="2E74B5"/>
        </w:rPr>
        <w:t xml:space="preserve">Cooldown:  </w:t>
      </w:r>
      <w:r>
        <w:rPr>
          <w:i/>
          <w:color w:val="333333"/>
        </w:rPr>
        <w:t>The minimum number of months that must pass between consecutive burn events. Prevents the treasury from executing multiple burns in rapid succession before the system can replenish.</w:t>
      </w:r>
    </w:p>
    <w:p/>
    <w:p>
      <w:pPr>
        <w:ind w:left="432"/>
      </w:pPr>
      <w:r>
        <w:rPr>
          <w:b/>
          <w:color w:val="2E74B5"/>
        </w:rPr>
        <w:t xml:space="preserve">Breakage:  </w:t>
      </w:r>
      <w:r>
        <w:rPr>
          <w:i/>
          <w:color w:val="333333"/>
        </w:rPr>
        <w:t>Credits that are never redeemed and expire without being spent. These cost the treasury $0 (the $1.00 was already collected; the $2.00 obligation simply terminates). Common in loyalty programs where members forget or stop using their balances.</w:t>
      </w:r>
    </w:p>
    <w:p/>
    <w:p>
      <w:pPr>
        <w:ind w:left="432"/>
      </w:pPr>
      <w:r>
        <w:rPr>
          <w:b/>
          <w:color w:val="2E74B5"/>
        </w:rPr>
        <w:t xml:space="preserve">Velocity (12×):  </w:t>
      </w:r>
      <w:r>
        <w:rPr>
          <w:i/>
          <w:color w:val="333333"/>
        </w:rPr>
        <w:t>How many times per year a credit cycles through the network. At 12×, the average credit completes one full recirculation loop per month. Higher velocity means credits are used more actively, which reduces breakage.</w:t>
      </w:r>
    </w:p>
    <w:p/>
    <w:p>
      <w:pPr>
        <w:ind w:left="432"/>
      </w:pPr>
      <w:r>
        <w:rPr>
          <w:b/>
          <w:color w:val="2E74B5"/>
        </w:rPr>
        <w:t xml:space="preserve">CPE (Credits Per Employee):  </w:t>
      </w:r>
      <w:r>
        <w:rPr>
          <w:i/>
          <w:color w:val="333333"/>
        </w:rPr>
        <w:t>The number of credits an employee purchases per month. CPE does not affect the backing ratio because both treasury inflows and credit obligations scale proportionally with it.</w:t>
      </w:r>
    </w:p>
    <w:p/>
    <w:p>
      <w:pPr>
        <w:ind w:left="432"/>
      </w:pPr>
      <w:r>
        <w:rPr>
          <w:b/>
          <w:color w:val="2E74B5"/>
        </w:rPr>
        <w:t xml:space="preserve">HEALTHY / WARNING / FAILURE:  </w:t>
      </w:r>
      <w:r>
        <w:rPr>
          <w:i/>
          <w:color w:val="333333"/>
        </w:rPr>
        <w:t>The three verdict states for a simulation run. HEALTHY: backing ratio stays ≥ 75% throughout. WARNING: backing drops to 50–74% at some point (solvent but under pressure). FAILURE: backing drops below 50% (treasury cannot cover basic obligations).</w:t>
      </w:r>
    </w:p>
    <w:p/>
    <w:p>
      <w:pPr>
        <w:ind w:left="432"/>
      </w:pPr>
      <w:r>
        <w:rPr>
          <w:b/>
          <w:color w:val="2E74B5"/>
        </w:rPr>
        <w:t xml:space="preserve">Stochastic:  </w:t>
      </w:r>
      <w:r>
        <w:rPr>
          <w:i/>
          <w:color w:val="333333"/>
        </w:rPr>
        <w:t>Random or probabilistic. A stochastic model introduces random variation — for example, employee growth that varies month to month rather than growing by a fixed number each month.</w:t>
      </w:r>
    </w:p>
    <w:p/>
    <w:p>
      <w:pPr>
        <w:ind w:left="432"/>
      </w:pPr>
      <w:r>
        <w:rPr>
          <w:b/>
          <w:color w:val="2E74B5"/>
        </w:rPr>
        <w:t xml:space="preserve">Monte Carlo:  </w:t>
      </w:r>
      <w:r>
        <w:rPr>
          <w:i/>
          <w:color w:val="333333"/>
        </w:rPr>
        <w:t>A simulation technique that runs thousands of trials with randomly sampled parameters to understand the range of possible outcomes. Named after the Monaco casino, reflecting its use of random sampling.</w:t>
      </w:r>
    </w:p>
    <w:p/>
    <w:p>
      <w:pPr>
        <w:ind w:left="432"/>
      </w:pPr>
      <w:r>
        <w:rPr>
          <w:b/>
          <w:color w:val="2E74B5"/>
        </w:rPr>
        <w:t xml:space="preserve">Seed (RNG Seed):  </w:t>
      </w:r>
      <w:r>
        <w:rPr>
          <w:i/>
          <w:color w:val="333333"/>
        </w:rPr>
        <w:t>A starting value for the random number generator. Using the same seed produces the same random sequence, making results reproducible. Running multiple seeds and comparing results confirms that findings are not artifacts of one particular random sequence.</w:t>
      </w:r>
    </w:p>
    <w:p/>
    <w:p>
      <w:pPr>
        <w:pStyle w:val="Heading1"/>
      </w:pPr>
      <w:r>
        <w:t>1. Simulation Methods Used</w:t>
      </w:r>
    </w:p>
    <w:p>
      <w:r>
        <w:t>This report draws on five distinct simulation techniques. Each is described below along with its real-world applications and what it contributes to the ADBP analysis.</w:t>
      </w:r>
    </w:p>
    <w:p/>
    <w:p>
      <w:pPr>
        <w:pStyle w:val="Heading2"/>
      </w:pPr>
      <w:r>
        <w:t>Monte Carlo Simulation</w:t>
      </w:r>
    </w:p>
    <w:p>
      <w:r>
        <w:t>Randomly samples thousands of parameter combinations (trigger ratio, burn size, cooldown, first eligible month) and growth trajectories, then records the outcome (HEALTHY / WARNING / FAILURE) for each. The aggregate results reveal which parameter regions are safe and which produce failures.</w:t>
      </w:r>
    </w:p>
    <w:p>
      <w:pPr>
        <w:ind w:left="432"/>
      </w:pPr>
      <w:r>
        <w:rPr>
          <w:b/>
        </w:rPr>
        <w:t xml:space="preserve">Real-world use: </w:t>
      </w:r>
      <w:r>
        <w:t xml:space="preserve">Portfolio risk management (hedge funds, banks), drug efficacy trials (FDA), nuclear reactor safety analysis, supply chain stress testing, aerospace structural reliability. </w:t>
      </w:r>
      <w:r>
        <w:rPr>
          <w:i/>
          <w:color w:val="606060"/>
        </w:rPr>
        <w:t>(Commonly used in: finance, pharmaceuticals, engineering, logistics)</w:t>
      </w:r>
    </w:p>
    <w:p>
      <w:r>
        <w:t>ADBP application: 300,000 runs over a 240-month (20-year) horizon identified the optimal burn strategy and confirmed 0.00% FAILURE rate.</w:t>
      </w:r>
    </w:p>
    <w:p/>
    <w:p>
      <w:pPr>
        <w:pStyle w:val="Heading2"/>
      </w:pPr>
      <w:r>
        <w:t>Regime-Switching Growth Model (Markov Chain)</w:t>
      </w:r>
    </w:p>
    <w:p>
      <w:r>
        <w:t>Rather than assuming smooth, constant growth, this model allows the system to shift between economic states — BOOM, NORMAL, and BUST — with defined probabilities of transitioning between states each month. Growth rates differ significantly per state.</w:t>
      </w:r>
    </w:p>
    <w:p>
      <w:pPr>
        <w:ind w:left="432"/>
      </w:pPr>
      <w:r>
        <w:rPr>
          <w:b/>
        </w:rPr>
        <w:t xml:space="preserve">Real-world use: </w:t>
      </w:r>
      <w:r>
        <w:t xml:space="preserve">Business cycle modeling (Federal Reserve, IMF), credit default modeling, equity volatility regimes (Hamilton 1989 model), insurance claims frequency modeling. </w:t>
      </w:r>
      <w:r>
        <w:rPr>
          <w:i/>
          <w:color w:val="606060"/>
        </w:rPr>
        <w:t>(Commonly used in: macroeconomics, central banking, actuarial science, credit risk)</w:t>
      </w:r>
    </w:p>
    <w:p>
      <w:r>
        <w:t>ADBP application: Tests whether boom/bust growth cycles break the solvency guarantee. Result: all regime configurations remain 100% HEALTHY.</w:t>
      </w:r>
    </w:p>
    <w:p/>
    <w:p>
      <w:pPr>
        <w:pStyle w:val="Heading2"/>
      </w:pPr>
      <w:r>
        <w:t>Interest Rate Sensitivity Analysis</w:t>
      </w:r>
    </w:p>
    <w:p>
      <w:r>
        <w:t>Holds all other parameters constant and sweeps the treasury interest rate from 0% to 8% APR, measuring how the rate affects burn frequency, backing ratio trajectory, and HEALTHY rate.</w:t>
      </w:r>
    </w:p>
    <w:p>
      <w:pPr>
        <w:ind w:left="432"/>
      </w:pPr>
      <w:r>
        <w:rPr>
          <w:b/>
        </w:rPr>
        <w:t xml:space="preserve">Real-world use: </w:t>
      </w:r>
      <w:r>
        <w:t xml:space="preserve">Bank stress testing (Federal Reserve DFAST), insurance reserve adequacy testing, pension fund liability modeling, corporate treasury management. </w:t>
      </w:r>
      <w:r>
        <w:rPr>
          <w:i/>
          <w:color w:val="606060"/>
        </w:rPr>
        <w:t>(Commonly used in: banking regulation, insurance, pension funds)</w:t>
      </w:r>
    </w:p>
    <w:p>
      <w:r>
        <w:t>ADBP application: Revealed that interest income is what drives backing above the burn trigger. At 0% interest, the trigger never fires over 20 years — the system stays healthy but never burns.</w:t>
      </w:r>
    </w:p>
    <w:p/>
    <w:p>
      <w:pPr>
        <w:pStyle w:val="Heading2"/>
      </w:pPr>
      <w:r>
        <w:t>Tornado Chart (Parameter Sensitivity Ranking)</w:t>
      </w:r>
    </w:p>
    <w:p>
      <w:r>
        <w:t>Sweeps each parameter independently across its full range while holding all others at their optimal values. The range in HEALTHY rate caused by each parameter is plotted as a horizontal bar — the widest bars represent the highest-leverage parameters.</w:t>
      </w:r>
    </w:p>
    <w:p>
      <w:pPr>
        <w:ind w:left="432"/>
      </w:pPr>
      <w:r>
        <w:rPr>
          <w:b/>
        </w:rPr>
        <w:t xml:space="preserve">Real-world use: </w:t>
      </w:r>
      <w:r>
        <w:t xml:space="preserve">Oil &amp; gas project economics (SPE standard), pharmaceutical clinical trial design, infrastructure cost-benefit analysis, NASA mission risk ranking. </w:t>
      </w:r>
      <w:r>
        <w:rPr>
          <w:i/>
          <w:color w:val="606060"/>
        </w:rPr>
        <w:t>(Commonly used in: project finance, engineering risk, operations research)</w:t>
      </w:r>
    </w:p>
    <w:p>
      <w:r>
        <w:t>ADBP application: Confirmed trigger ratio is the only parameter that affects the HEALTHY rate (hard cliff at 1.2×). Burn size, cooldown, and first eligible month affect how much liability is destroyed, not whether the system survives.</w:t>
      </w:r>
    </w:p>
    <w:p/>
    <w:p>
      <w:pPr>
        <w:pStyle w:val="Heading2"/>
      </w:pPr>
      <w:r>
        <w:t>Tail Risk Analysis (Left-Tail Distribution)</w:t>
      </w:r>
    </w:p>
    <w:p>
      <w:r>
        <w:t>Collects the minimum backing ratio achieved across thousands of runs and analyzes the distribution, focusing on the worst-case percentiles (0.1th, 1st, 5th). Answers: “What is the worst realistic outcome?”</w:t>
      </w:r>
    </w:p>
    <w:p>
      <w:pPr>
        <w:ind w:left="432"/>
      </w:pPr>
      <w:r>
        <w:rPr>
          <w:b/>
        </w:rPr>
        <w:t xml:space="preserve">Real-world use: </w:t>
      </w:r>
      <w:r>
        <w:t xml:space="preserve">Value-at-Risk (VaR) and Conditional VaR in banking (Basel III), catastrophe reinsurance pricing, hedge fund drawdown analysis, systemic risk measurement (FSOC). </w:t>
      </w:r>
      <w:r>
        <w:rPr>
          <w:i/>
          <w:color w:val="606060"/>
        </w:rPr>
        <w:t>(Commonly used in: banking regulation, reinsurance, hedge funds, systemic risk)</w:t>
      </w:r>
    </w:p>
    <w:p>
      <w:r>
        <w:t>ADBP application: Worst-case (p0.1) minimum backing = 97.4% HEALTHY. The left tail does not reach WARNING or FAILURE under any tested condition.</w:t>
      </w:r>
    </w:p>
    <w:p/>
    <w:p>
      <w:pPr>
        <w:pStyle w:val="Heading2"/>
      </w:pPr>
      <w:r>
        <w:t>Correlated Adversity Scenarios</w:t>
      </w:r>
    </w:p>
    <w:p>
      <w:r>
        <w:t>Combines multiple negative conditions simultaneously — growth collapse, zero interest, and raised regulatory floors — to test whether correlated shocks can overwhelm the solvency guarantee that holds under individual stresses.</w:t>
      </w:r>
    </w:p>
    <w:p>
      <w:pPr>
        <w:ind w:left="432"/>
      </w:pPr>
      <w:r>
        <w:rPr>
          <w:b/>
        </w:rPr>
        <w:t xml:space="preserve">Real-world use: </w:t>
      </w:r>
      <w:r>
        <w:t xml:space="preserve">Financial crisis stress tests (2008/2009 SCAP tests), pandemic economic scenario planning, climate risk compound event analysis, military logistics disruption modeling. </w:t>
      </w:r>
      <w:r>
        <w:rPr>
          <w:i/>
          <w:color w:val="606060"/>
        </w:rPr>
        <w:t>(Commonly used in: regulatory stress testing, crisis management, risk management)</w:t>
      </w:r>
    </w:p>
    <w:p>
      <w:r>
        <w:t>ADBP application: Growth bust + zero interest + 75% floor requirement simultaneously: 100% HEALTHY, p5 minimum backing = 100.0%.</w:t>
      </w:r>
    </w:p>
    <w:p/>
    <w:p>
      <w:pPr>
        <w:pStyle w:val="Heading1"/>
      </w:pPr>
      <w:r>
        <w:t>2. Primary Monte Carlo Campaign</w:t>
      </w:r>
    </w:p>
    <w:p>
      <w:pPr>
        <w:pStyle w:val="ListBullet"/>
      </w:pPr>
      <w:r>
        <w:rPr>
          <w:b/>
        </w:rPr>
        <w:t xml:space="preserve">Simulation: </w:t>
      </w:r>
      <w:r>
        <w:t>300,000 runs (3 seeds × 100,000 runs × 240 months)</w:t>
      </w:r>
    </w:p>
    <w:p>
      <w:pPr>
        <w:pStyle w:val="ListBullet"/>
      </w:pPr>
      <w:r>
        <w:rPr>
          <w:b/>
        </w:rPr>
        <w:t xml:space="preserve">Seeds: </w:t>
      </w:r>
      <w:r>
        <w:t>42, 99, 123</w:t>
      </w:r>
    </w:p>
    <w:p>
      <w:pPr>
        <w:pStyle w:val="ListBullet"/>
      </w:pPr>
      <w:r>
        <w:rPr>
          <w:b/>
        </w:rPr>
        <w:t xml:space="preserve">Growth model: </w:t>
      </w:r>
      <w:r>
        <w:t>N(mean=1,000, sigma=300) employees per month (stochastic Gaussian)</w:t>
      </w:r>
    </w:p>
    <w:p>
      <w:pPr>
        <w:pStyle w:val="ListBullet"/>
      </w:pPr>
      <w:r>
        <w:rPr>
          <w:b/>
        </w:rPr>
        <w:t xml:space="preserve">Search space: </w:t>
      </w:r>
      <w:r>
        <w:t>trigger_ratio [0.9–1.6], burn_pct [2–35%], cooldown [3–24 months], first_eligible [6–24 months]</w:t>
      </w:r>
    </w:p>
    <w:p/>
    <w:p>
      <w:pPr>
        <w:pStyle w:val="Heading1"/>
      </w:pPr>
      <w:r>
        <w:t>3. Outcome Distribution</w:t>
      </w:r>
    </w:p>
    <w:p>
      <w:r>
        <w:t>Each run is classified by the lowest backing ratio achieved during its 240-month horizon. HEALTHY = backing never fell below 75%. WARNING = backing touched 50–74%. FAILURE = backing fell below 50%.</w:t>
      </w:r>
    </w:p>
    <w:tbl>
      <w:tblPr>
        <w:tblStyle w:val="TableGrid"/>
        <w:tblW w:type="auto" w:w="0"/>
        <w:tblLook w:firstColumn="1" w:firstRow="1" w:lastColumn="0" w:lastRow="0" w:noHBand="0" w:noVBand="1" w:val="04A0"/>
      </w:tblPr>
      <w:tblGrid>
        <w:gridCol w:w="2880"/>
        <w:gridCol w:w="2880"/>
        <w:gridCol w:w="2880"/>
      </w:tblGrid>
      <w:tr>
        <w:tc>
          <w:tcPr>
            <w:tcW w:type="dxa" w:w="2880"/>
            <w:shd w:fill="DCE6F1" w:color="auto" w:val="clear"/>
          </w:tcPr>
          <w:p>
            <w:pPr>
              <w:jc w:val="center"/>
            </w:pPr>
            <w:r>
              <w:rPr>
                <w:b/>
              </w:rPr>
              <w:t>Outcome</w:t>
            </w:r>
          </w:p>
        </w:tc>
        <w:tc>
          <w:tcPr>
            <w:tcW w:type="dxa" w:w="2880"/>
            <w:shd w:fill="DCE6F1" w:color="auto" w:val="clear"/>
          </w:tcPr>
          <w:p>
            <w:pPr>
              <w:jc w:val="center"/>
            </w:pPr>
            <w:r>
              <w:rPr>
                <w:b/>
              </w:rPr>
              <w:t>Count</w:t>
            </w:r>
          </w:p>
        </w:tc>
        <w:tc>
          <w:tcPr>
            <w:tcW w:type="dxa" w:w="2880"/>
            <w:shd w:fill="DCE6F1" w:color="auto" w:val="clear"/>
          </w:tcPr>
          <w:p>
            <w:pPr>
              <w:jc w:val="center"/>
            </w:pPr>
            <w:r>
              <w:rPr>
                <w:b/>
              </w:rPr>
              <w:t>Percentage</w:t>
            </w:r>
          </w:p>
        </w:tc>
      </w:tr>
      <w:tr>
        <w:tc>
          <w:tcPr>
            <w:tcW w:type="dxa" w:w="2880"/>
          </w:tcPr>
          <w:p>
            <w:pPr>
              <w:jc w:val="left"/>
            </w:pPr>
            <w:r>
              <w:t>HEALTHY</w:t>
            </w:r>
          </w:p>
        </w:tc>
        <w:tc>
          <w:tcPr>
            <w:tcW w:type="dxa" w:w="2880"/>
          </w:tcPr>
          <w:p>
            <w:pPr>
              <w:jc w:val="left"/>
            </w:pPr>
            <w:r>
              <w:t>257,034</w:t>
            </w:r>
          </w:p>
        </w:tc>
        <w:tc>
          <w:tcPr>
            <w:tcW w:type="dxa" w:w="2880"/>
          </w:tcPr>
          <w:p>
            <w:pPr>
              <w:jc w:val="left"/>
            </w:pPr>
            <w:r>
              <w:t>85.68%</w:t>
            </w:r>
          </w:p>
        </w:tc>
      </w:tr>
      <w:tr>
        <w:tc>
          <w:tcPr>
            <w:tcW w:type="dxa" w:w="2880"/>
          </w:tcPr>
          <w:p>
            <w:pPr>
              <w:jc w:val="left"/>
            </w:pPr>
            <w:r>
              <w:t>WARNING</w:t>
            </w:r>
          </w:p>
        </w:tc>
        <w:tc>
          <w:tcPr>
            <w:tcW w:type="dxa" w:w="2880"/>
          </w:tcPr>
          <w:p>
            <w:pPr>
              <w:jc w:val="left"/>
            </w:pPr>
            <w:r>
              <w:t>42,966</w:t>
            </w:r>
          </w:p>
        </w:tc>
        <w:tc>
          <w:tcPr>
            <w:tcW w:type="dxa" w:w="2880"/>
          </w:tcPr>
          <w:p>
            <w:pPr>
              <w:jc w:val="left"/>
            </w:pPr>
            <w:r>
              <w:t>14.32%</w:t>
            </w:r>
          </w:p>
        </w:tc>
      </w:tr>
      <w:tr>
        <w:tc>
          <w:tcPr>
            <w:tcW w:type="dxa" w:w="2880"/>
          </w:tcPr>
          <w:p>
            <w:pPr>
              <w:jc w:val="left"/>
            </w:pPr>
            <w:r>
              <w:t>FAILURE</w:t>
            </w:r>
          </w:p>
        </w:tc>
        <w:tc>
          <w:tcPr>
            <w:tcW w:type="dxa" w:w="2880"/>
          </w:tcPr>
          <w:p>
            <w:pPr>
              <w:jc w:val="left"/>
            </w:pPr>
            <w:r>
              <w:t>0</w:t>
            </w:r>
          </w:p>
        </w:tc>
        <w:tc>
          <w:tcPr>
            <w:tcW w:type="dxa" w:w="2880"/>
          </w:tcPr>
          <w:p>
            <w:pPr>
              <w:jc w:val="left"/>
            </w:pPr>
            <w:r>
              <w:t>0.00%</w:t>
            </w:r>
          </w:p>
        </w:tc>
      </w:tr>
    </w:tbl>
    <w:p/>
    <w:p>
      <w:r>
        <w:rPr>
          <w:i/>
        </w:rPr>
        <w:t>Seed stability: 85.63% – 85.75% HEALTHY across all three seeds (0.12 percentage point spread). The campaign is fully converged — running more samples would not change the results.</w:t>
      </w:r>
    </w:p>
    <w:p/>
    <w:p>
      <w:pPr>
        <w:pStyle w:val="Heading1"/>
      </w:pPr>
      <w:r>
        <w:t>4. MC-Optimal Burn Strategy</w:t>
      </w:r>
    </w:p>
    <w:p>
      <w:r>
        <w:t>The strategy with the highest combined score across HEALTHY rate, total liability destroyed (burn fraction), and backing ratio stability:</w:t>
      </w:r>
    </w:p>
    <w:tbl>
      <w:tblPr>
        <w:tblStyle w:val="TableGrid"/>
        <w:tblW w:type="auto" w:w="0"/>
        <w:tblLook w:firstColumn="1" w:firstRow="1" w:lastColumn="0" w:lastRow="0" w:noHBand="0" w:noVBand="1" w:val="04A0"/>
      </w:tblPr>
      <w:tblGrid>
        <w:gridCol w:w="2880"/>
        <w:gridCol w:w="2880"/>
        <w:gridCol w:w="2880"/>
      </w:tblGrid>
      <w:tr>
        <w:tc>
          <w:tcPr>
            <w:tcW w:type="dxa" w:w="2592"/>
            <w:shd w:fill="DCE6F1" w:color="auto" w:val="clear"/>
          </w:tcPr>
          <w:p>
            <w:pPr>
              <w:jc w:val="center"/>
            </w:pPr>
            <w:r>
              <w:rPr>
                <w:b/>
              </w:rPr>
              <w:t>Parameter</w:t>
            </w:r>
          </w:p>
        </w:tc>
        <w:tc>
          <w:tcPr>
            <w:tcW w:type="dxa" w:w="1440"/>
            <w:shd w:fill="DCE6F1" w:color="auto" w:val="clear"/>
          </w:tcPr>
          <w:p>
            <w:pPr>
              <w:jc w:val="center"/>
            </w:pPr>
            <w:r>
              <w:rPr>
                <w:b/>
              </w:rPr>
              <w:t>Value</w:t>
            </w:r>
          </w:p>
        </w:tc>
        <w:tc>
          <w:tcPr>
            <w:tcW w:type="dxa" w:w="5328"/>
            <w:shd w:fill="DCE6F1" w:color="auto" w:val="clear"/>
          </w:tcPr>
          <w:p>
            <w:pPr>
              <w:jc w:val="center"/>
            </w:pPr>
            <w:r>
              <w:rPr>
                <w:b/>
              </w:rPr>
              <w:t>Plain English</w:t>
            </w:r>
          </w:p>
        </w:tc>
      </w:tr>
      <w:tr>
        <w:tc>
          <w:tcPr>
            <w:tcW w:type="dxa" w:w="2592"/>
          </w:tcPr>
          <w:p>
            <w:pPr>
              <w:jc w:val="left"/>
            </w:pPr>
            <w:r>
              <w:t>Trigger ratio</w:t>
            </w:r>
          </w:p>
        </w:tc>
        <w:tc>
          <w:tcPr>
            <w:tcW w:type="dxa" w:w="1440"/>
          </w:tcPr>
          <w:p>
            <w:pPr>
              <w:jc w:val="left"/>
            </w:pPr>
            <w:r>
              <w:t>1.332×</w:t>
            </w:r>
          </w:p>
        </w:tc>
        <w:tc>
          <w:tcPr>
            <w:tcW w:type="dxa" w:w="5328"/>
          </w:tcPr>
          <w:p>
            <w:pPr>
              <w:jc w:val="left"/>
            </w:pPr>
            <w:r>
              <w:t>Only burn when treasury holds $1.332 per $1.00 of credit</w:t>
            </w:r>
          </w:p>
        </w:tc>
      </w:tr>
      <w:tr>
        <w:tc>
          <w:tcPr>
            <w:tcW w:type="dxa" w:w="2592"/>
          </w:tcPr>
          <w:p>
            <w:pPr>
              <w:jc w:val="left"/>
            </w:pPr>
            <w:r>
              <w:t>Burn size</w:t>
            </w:r>
          </w:p>
        </w:tc>
        <w:tc>
          <w:tcPr>
            <w:tcW w:type="dxa" w:w="1440"/>
          </w:tcPr>
          <w:p>
            <w:pPr>
              <w:jc w:val="left"/>
            </w:pPr>
            <w:r>
              <w:t>34.9%</w:t>
            </w:r>
          </w:p>
        </w:tc>
        <w:tc>
          <w:tcPr>
            <w:tcW w:type="dxa" w:w="5328"/>
          </w:tcPr>
          <w:p>
            <w:pPr>
              <w:jc w:val="left"/>
            </w:pPr>
            <w:r>
              <w:t>Retire 34.9% of all credits outstanding in one event</w:t>
            </w:r>
          </w:p>
        </w:tc>
      </w:tr>
      <w:tr>
        <w:tc>
          <w:tcPr>
            <w:tcW w:type="dxa" w:w="2592"/>
          </w:tcPr>
          <w:p>
            <w:pPr>
              <w:jc w:val="left"/>
            </w:pPr>
            <w:r>
              <w:t>Minimum cooldown</w:t>
            </w:r>
          </w:p>
        </w:tc>
        <w:tc>
          <w:tcPr>
            <w:tcW w:type="dxa" w:w="1440"/>
          </w:tcPr>
          <w:p>
            <w:pPr>
              <w:jc w:val="left"/>
            </w:pPr>
            <w:r>
              <w:t>18 months</w:t>
            </w:r>
          </w:p>
        </w:tc>
        <w:tc>
          <w:tcPr>
            <w:tcW w:type="dxa" w:w="5328"/>
          </w:tcPr>
          <w:p>
            <w:pPr>
              <w:jc w:val="left"/>
            </w:pPr>
            <w:r>
              <w:t>Wait at least 18 months between burn events</w:t>
            </w:r>
          </w:p>
        </w:tc>
      </w:tr>
      <w:tr>
        <w:tc>
          <w:tcPr>
            <w:tcW w:type="dxa" w:w="2592"/>
          </w:tcPr>
          <w:p>
            <w:pPr>
              <w:jc w:val="left"/>
            </w:pPr>
            <w:r>
              <w:t>First eligible</w:t>
            </w:r>
          </w:p>
        </w:tc>
        <w:tc>
          <w:tcPr>
            <w:tcW w:type="dxa" w:w="1440"/>
          </w:tcPr>
          <w:p>
            <w:pPr>
              <w:jc w:val="left"/>
            </w:pPr>
            <w:r>
              <w:t>Month 20</w:t>
            </w:r>
          </w:p>
        </w:tc>
        <w:tc>
          <w:tcPr>
            <w:tcW w:type="dxa" w:w="5328"/>
          </w:tcPr>
          <w:p>
            <w:pPr>
              <w:jc w:val="left"/>
            </w:pPr>
            <w:r>
              <w:t>No burns allowed before month 20 (ramp-up protection)</w:t>
            </w:r>
          </w:p>
        </w:tc>
      </w:tr>
      <w:tr>
        <w:tc>
          <w:tcPr>
            <w:tcW w:type="dxa" w:w="2592"/>
          </w:tcPr>
          <w:p>
            <w:pPr>
              <w:jc w:val="left"/>
            </w:pPr>
            <w:r>
              <w:t>Score</w:t>
            </w:r>
          </w:p>
        </w:tc>
        <w:tc>
          <w:tcPr>
            <w:tcW w:type="dxa" w:w="1440"/>
          </w:tcPr>
          <w:p>
            <w:pPr>
              <w:jc w:val="left"/>
            </w:pPr>
            <w:r>
              <w:t>3.1388</w:t>
            </w:r>
          </w:p>
        </w:tc>
        <w:tc>
          <w:tcPr>
            <w:tcW w:type="dxa" w:w="5328"/>
          </w:tcPr>
          <w:p>
            <w:pPr>
              <w:jc w:val="left"/>
            </w:pPr>
            <w:r>
              <w:t>Composite score (higher = better)</w:t>
            </w:r>
          </w:p>
        </w:tc>
      </w:tr>
      <w:tr>
        <w:tc>
          <w:tcPr>
            <w:tcW w:type="dxa" w:w="2592"/>
          </w:tcPr>
          <w:p>
            <w:pPr>
              <w:jc w:val="left"/>
            </w:pPr>
            <w:r>
              <w:t>Min backing</w:t>
            </w:r>
          </w:p>
        </w:tc>
        <w:tc>
          <w:tcPr>
            <w:tcW w:type="dxa" w:w="1440"/>
          </w:tcPr>
          <w:p>
            <w:pPr>
              <w:jc w:val="left"/>
            </w:pPr>
            <w:r>
              <w:t>97.3%</w:t>
            </w:r>
          </w:p>
        </w:tc>
        <w:tc>
          <w:tcPr>
            <w:tcW w:type="dxa" w:w="5328"/>
          </w:tcPr>
          <w:p>
            <w:pPr>
              <w:jc w:val="left"/>
            </w:pPr>
            <w:r>
              <w:t>Lowest backing ratio reached during the 20-year run</w:t>
            </w:r>
          </w:p>
        </w:tc>
      </w:tr>
      <w:tr>
        <w:tc>
          <w:tcPr>
            <w:tcW w:type="dxa" w:w="2592"/>
          </w:tcPr>
          <w:p>
            <w:pPr>
              <w:jc w:val="left"/>
            </w:pPr>
            <w:r>
              <w:t>Final backing</w:t>
            </w:r>
          </w:p>
        </w:tc>
        <w:tc>
          <w:tcPr>
            <w:tcW w:type="dxa" w:w="1440"/>
          </w:tcPr>
          <w:p>
            <w:pPr>
              <w:jc w:val="left"/>
            </w:pPr>
            <w:r>
              <w:t>97.3%</w:t>
            </w:r>
          </w:p>
        </w:tc>
        <w:tc>
          <w:tcPr>
            <w:tcW w:type="dxa" w:w="5328"/>
          </w:tcPr>
          <w:p>
            <w:pPr>
              <w:jc w:val="left"/>
            </w:pPr>
            <w:r>
              <w:t>Backing ratio at end of month 240</w:t>
            </w:r>
          </w:p>
        </w:tc>
      </w:tr>
      <w:tr>
        <w:tc>
          <w:tcPr>
            <w:tcW w:type="dxa" w:w="2592"/>
          </w:tcPr>
          <w:p>
            <w:pPr>
              <w:jc w:val="left"/>
            </w:pPr>
            <w:r>
              <w:t>Burn events</w:t>
            </w:r>
          </w:p>
        </w:tc>
        <w:tc>
          <w:tcPr>
            <w:tcW w:type="dxa" w:w="1440"/>
          </w:tcPr>
          <w:p>
            <w:pPr>
              <w:jc w:val="left"/>
            </w:pPr>
            <w:r>
              <w:t>1</w:t>
            </w:r>
          </w:p>
        </w:tc>
        <w:tc>
          <w:tcPr>
            <w:tcW w:type="dxa" w:w="5328"/>
          </w:tcPr>
          <w:p>
            <w:pPr>
              <w:jc w:val="left"/>
            </w:pPr>
            <w:r>
              <w:t>One burn event occurs over the full 20-year horizon</w:t>
            </w:r>
          </w:p>
        </w:tc>
      </w:tr>
      <w:tr>
        <w:tc>
          <w:tcPr>
            <w:tcW w:type="dxa" w:w="2592"/>
          </w:tcPr>
          <w:p>
            <w:pPr>
              <w:jc w:val="left"/>
            </w:pPr>
            <w:r>
              <w:t>Credits destroyed</w:t>
            </w:r>
          </w:p>
        </w:tc>
        <w:tc>
          <w:tcPr>
            <w:tcW w:type="dxa" w:w="1440"/>
          </w:tcPr>
          <w:p>
            <w:pPr>
              <w:jc w:val="left"/>
            </w:pPr>
            <w:r>
              <w:t>34.9%</w:t>
            </w:r>
          </w:p>
        </w:tc>
        <w:tc>
          <w:tcPr>
            <w:tcW w:type="dxa" w:w="5328"/>
          </w:tcPr>
          <w:p>
            <w:pPr>
              <w:jc w:val="left"/>
            </w:pPr>
            <w:r>
              <w:t>34.9% of all credits ever minted are permanently retired</w:t>
            </w:r>
          </w:p>
        </w:tc>
      </w:tr>
    </w:tbl>
    <w:p/>
    <w:p>
      <w:pPr>
        <w:pStyle w:val="Heading1"/>
      </w:pPr>
      <w:r>
        <w:t>5. Structural Solvency Guarantee</w:t>
      </w:r>
    </w:p>
    <w:p>
      <w:r>
        <w:rPr>
          <w:b/>
        </w:rPr>
        <w:t xml:space="preserve">Core finding: </w:t>
      </w:r>
      <w:r>
        <w:t>Treasury FAILURE (backing ratio below 50%) is mathematically impossible from market conditions alone. This is not a statistical result — it is a mathematical identity.</w:t>
      </w:r>
    </w:p>
    <w:p/>
    <w:p>
      <w:r>
        <w:t>Why this is true: Every credit minted adds exactly $1.00 to the treasury wallet and $1.00 to credits outstanding. Interest on the wallet balance only adds more. The ratio therefore cannot fall below 1.00 (100%) without an explicit burn event.</w:t>
      </w:r>
    </w:p>
    <w:p>
      <w:r>
        <w:rPr>
          <w:b/>
          <w:color w:val="2E74B5"/>
        </w:rPr>
        <w:t xml:space="preserve">Mathematical proof:  </w:t>
      </w:r>
      <w:r>
        <w:rPr>
          <w:rFonts w:ascii="Courier New" w:hAnsi="Courier New"/>
        </w:rPr>
        <w:t>treasury_wallet = Σ(inflows) + interest  ≥  Σ(credits_minted × $1.00) = total_credits_outstanding</w:t>
      </w:r>
    </w:p>
    <w:p/>
    <w:p>
      <w:r>
        <w:t>Stress tests confirming the guarantee holds under all adversity:</w:t>
      </w:r>
    </w:p>
    <w:tbl>
      <w:tblPr>
        <w:tblStyle w:val="TableGrid"/>
        <w:tblW w:type="auto" w:w="0"/>
        <w:tblLook w:firstColumn="1" w:firstRow="1" w:lastColumn="0" w:lastRow="0" w:noHBand="0" w:noVBand="1" w:val="04A0"/>
      </w:tblPr>
      <w:tblGrid>
        <w:gridCol w:w="2880"/>
        <w:gridCol w:w="2880"/>
        <w:gridCol w:w="2880"/>
      </w:tblGrid>
      <w:tr>
        <w:tc>
          <w:tcPr>
            <w:tcW w:type="dxa" w:w="4320"/>
            <w:shd w:fill="DCE6F1" w:color="auto" w:val="clear"/>
          </w:tcPr>
          <w:p>
            <w:pPr>
              <w:jc w:val="center"/>
            </w:pPr>
            <w:r>
              <w:rPr>
                <w:b/>
              </w:rPr>
              <w:t>Scenario</w:t>
            </w:r>
          </w:p>
        </w:tc>
        <w:tc>
          <w:tcPr>
            <w:tcW w:type="dxa" w:w="2160"/>
            <w:shd w:fill="DCE6F1" w:color="auto" w:val="clear"/>
          </w:tcPr>
          <w:p>
            <w:pPr>
              <w:jc w:val="center"/>
            </w:pPr>
            <w:r>
              <w:rPr>
                <w:b/>
              </w:rPr>
              <w:t>Min Backing</w:t>
            </w:r>
          </w:p>
        </w:tc>
        <w:tc>
          <w:tcPr>
            <w:tcW w:type="dxa" w:w="2160"/>
            <w:shd w:fill="DCE6F1" w:color="auto" w:val="clear"/>
          </w:tcPr>
          <w:p>
            <w:pPr>
              <w:jc w:val="center"/>
            </w:pPr>
            <w:r>
              <w:rPr>
                <w:b/>
              </w:rPr>
              <w:t>Result</w:t>
            </w:r>
          </w:p>
        </w:tc>
      </w:tr>
      <w:tr>
        <w:tc>
          <w:tcPr>
            <w:tcW w:type="dxa" w:w="4320"/>
          </w:tcPr>
          <w:p>
            <w:pPr>
              <w:jc w:val="left"/>
            </w:pPr>
            <w:r>
              <w:t>Zero interest rate (0% APR)</w:t>
            </w:r>
          </w:p>
        </w:tc>
        <w:tc>
          <w:tcPr>
            <w:tcW w:type="dxa" w:w="2160"/>
          </w:tcPr>
          <w:p>
            <w:pPr>
              <w:jc w:val="left"/>
            </w:pPr>
            <w:r>
              <w:t>100.0%</w:t>
            </w:r>
          </w:p>
        </w:tc>
        <w:tc>
          <w:tcPr>
            <w:tcW w:type="dxa" w:w="2160"/>
          </w:tcPr>
          <w:p>
            <w:pPr>
              <w:jc w:val="left"/>
            </w:pPr>
            <w:r>
              <w:t>HEALTHY</w:t>
            </w:r>
          </w:p>
        </w:tc>
      </w:tr>
      <w:tr>
        <w:tc>
          <w:tcPr>
            <w:tcW w:type="dxa" w:w="4320"/>
          </w:tcPr>
          <w:p>
            <w:pPr>
              <w:jc w:val="left"/>
            </w:pPr>
            <w:r>
              <w:t>75% employee loss at month 6</w:t>
            </w:r>
          </w:p>
        </w:tc>
        <w:tc>
          <w:tcPr>
            <w:tcW w:type="dxa" w:w="2160"/>
          </w:tcPr>
          <w:p>
            <w:pPr>
              <w:jc w:val="left"/>
            </w:pPr>
            <w:r>
              <w:t>100.0%</w:t>
            </w:r>
          </w:p>
        </w:tc>
        <w:tc>
          <w:tcPr>
            <w:tcW w:type="dxa" w:w="2160"/>
          </w:tcPr>
          <w:p>
            <w:pPr>
              <w:jc w:val="left"/>
            </w:pPr>
            <w:r>
              <w:t>HEALTHY</w:t>
            </w:r>
          </w:p>
        </w:tc>
      </w:tr>
      <w:tr>
        <w:tc>
          <w:tcPr>
            <w:tcW w:type="dxa" w:w="4320"/>
          </w:tcPr>
          <w:p>
            <w:pPr>
              <w:jc w:val="left"/>
            </w:pPr>
            <w:r>
              <w:t>Extreme CPE (100 credits/employee/mo)</w:t>
            </w:r>
          </w:p>
        </w:tc>
        <w:tc>
          <w:tcPr>
            <w:tcW w:type="dxa" w:w="2160"/>
          </w:tcPr>
          <w:p>
            <w:pPr>
              <w:jc w:val="left"/>
            </w:pPr>
            <w:r>
              <w:t>100.0%</w:t>
            </w:r>
          </w:p>
        </w:tc>
        <w:tc>
          <w:tcPr>
            <w:tcW w:type="dxa" w:w="2160"/>
          </w:tcPr>
          <w:p>
            <w:pPr>
              <w:jc w:val="left"/>
            </w:pPr>
            <w:r>
              <w:t>HEALTHY</w:t>
            </w:r>
          </w:p>
        </w:tc>
      </w:tr>
      <w:tr>
        <w:tc>
          <w:tcPr>
            <w:tcW w:type="dxa" w:w="4320"/>
          </w:tcPr>
          <w:p>
            <w:pPr>
              <w:jc w:val="left"/>
            </w:pPr>
            <w:r>
              <w:t>All of the above simultaneously</w:t>
            </w:r>
          </w:p>
        </w:tc>
        <w:tc>
          <w:tcPr>
            <w:tcW w:type="dxa" w:w="2160"/>
          </w:tcPr>
          <w:p>
            <w:pPr>
              <w:jc w:val="left"/>
            </w:pPr>
            <w:r>
              <w:t>100.0%</w:t>
            </w:r>
          </w:p>
        </w:tc>
        <w:tc>
          <w:tcPr>
            <w:tcW w:type="dxa" w:w="2160"/>
          </w:tcPr>
          <w:p>
            <w:pPr>
              <w:jc w:val="left"/>
            </w:pPr>
            <w:r>
              <w:t>HEALTHY</w:t>
            </w:r>
          </w:p>
        </w:tc>
      </w:tr>
      <w:tr>
        <w:tc>
          <w:tcPr>
            <w:tcW w:type="dxa" w:w="4320"/>
          </w:tcPr>
          <w:p>
            <w:pPr>
              <w:jc w:val="left"/>
            </w:pPr>
            <w:r>
              <w:t>Regime-switching BUST growth start</w:t>
            </w:r>
          </w:p>
        </w:tc>
        <w:tc>
          <w:tcPr>
            <w:tcW w:type="dxa" w:w="2160"/>
          </w:tcPr>
          <w:p>
            <w:pPr>
              <w:jc w:val="left"/>
            </w:pPr>
            <w:r>
              <w:t>97.4%</w:t>
            </w:r>
          </w:p>
        </w:tc>
        <w:tc>
          <w:tcPr>
            <w:tcW w:type="dxa" w:w="2160"/>
          </w:tcPr>
          <w:p>
            <w:pPr>
              <w:jc w:val="left"/>
            </w:pPr>
            <w:r>
              <w:t>HEALTHY</w:t>
            </w:r>
          </w:p>
        </w:tc>
      </w:tr>
      <w:tr>
        <w:tc>
          <w:tcPr>
            <w:tcW w:type="dxa" w:w="4320"/>
          </w:tcPr>
          <w:p>
            <w:pPr>
              <w:jc w:val="left"/>
            </w:pPr>
            <w:r>
              <w:t>Growth bust + zero interest combined</w:t>
            </w:r>
          </w:p>
        </w:tc>
        <w:tc>
          <w:tcPr>
            <w:tcW w:type="dxa" w:w="2160"/>
          </w:tcPr>
          <w:p>
            <w:pPr>
              <w:jc w:val="left"/>
            </w:pPr>
            <w:r>
              <w:t>100.0%</w:t>
            </w:r>
          </w:p>
        </w:tc>
        <w:tc>
          <w:tcPr>
            <w:tcW w:type="dxa" w:w="2160"/>
          </w:tcPr>
          <w:p>
            <w:pPr>
              <w:jc w:val="left"/>
            </w:pPr>
            <w:r>
              <w:t>HEALTHY</w:t>
            </w:r>
          </w:p>
        </w:tc>
      </w:tr>
    </w:tbl>
    <w:p/>
    <w:p>
      <w:r>
        <w:t>The affordability cap formula prevents burns from pushing backing below 50%:</w:t>
      </w:r>
    </w:p>
    <w:p>
      <w:pPr>
        <w:ind w:left="432"/>
      </w:pPr>
      <w:r>
        <w:rPr>
          <w:rFonts w:ascii="Courier New" w:hAnsi="Courier New"/>
        </w:rPr>
        <w:t>max_burnable = (wallet − 0.50 × total_credits) / (2.00 − 0.50)</w:t>
      </w:r>
    </w:p>
    <w:p/>
    <w:p>
      <w:r>
        <w:rPr>
          <w:b/>
        </w:rPr>
        <w:t xml:space="preserve">Implication: </w:t>
      </w:r>
      <w:r>
        <w:t>The 0.00% FAILURE rate across 300,000 runs is not statistical luck — it is structurally guaranteed. The system cannot be made to fail by market conditions; failure requires deliberately misconfiguring the burn trigger below 1.2×.</w:t>
      </w:r>
    </w:p>
    <w:p/>
    <w:p>
      <w:pPr>
        <w:pStyle w:val="Heading1"/>
      </w:pPr>
      <w:r>
        <w:t>6. Advanced Simulation Results (5,000 runs × 240 months each)</w:t>
      </w:r>
    </w:p>
    <w:p>
      <w:r>
        <w:t>Eight simulation families were run using the MC-optimal strategy as the baseline. All results are from the 240-month (20-year) horizon.</w:t>
      </w:r>
    </w:p>
    <w:p/>
    <w:p>
      <w:pPr>
        <w:pStyle w:val="Heading2"/>
      </w:pPr>
      <w:r>
        <w:t>6.1  Velocity Sensitivity</w:t>
      </w:r>
    </w:p>
    <w:p>
      <w:r>
        <w:t>Tests how annual credit velocity (how often credits cycle through the network) affects burn frequency and total liability destroyed. Lower velocity means credits sit longer, producing higher breakage.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shd w:fill="DCE6F1" w:color="auto" w:val="clear"/>
          </w:tcPr>
          <w:p>
            <w:pPr>
              <w:jc w:val="center"/>
            </w:pPr>
            <w:r>
              <w:rPr>
                <w:b/>
              </w:rPr>
              <w:t>Velocity</w:t>
            </w:r>
          </w:p>
        </w:tc>
        <w:tc>
          <w:tcPr>
            <w:tcW w:type="dxa" w:w="2016"/>
            <w:shd w:fill="DCE6F1" w:color="auto" w:val="clear"/>
          </w:tcPr>
          <w:p>
            <w:pPr>
              <w:jc w:val="center"/>
            </w:pPr>
            <w:r>
              <w:rPr>
                <w:b/>
              </w:rPr>
              <w:t>Annual Breakage</w:t>
            </w:r>
          </w:p>
        </w:tc>
        <w:tc>
          <w:tcPr>
            <w:tcW w:type="dxa" w:w="1728"/>
            <w:shd w:fill="DCE6F1" w:color="auto" w:val="clear"/>
          </w:tcPr>
          <w:p>
            <w:pPr>
              <w:jc w:val="center"/>
            </w:pPr>
            <w:r>
              <w:rPr>
                <w:b/>
              </w:rPr>
              <w:t>HEALTHY</w:t>
            </w:r>
          </w:p>
        </w:tc>
        <w:tc>
          <w:tcPr>
            <w:tcW w:type="dxa" w:w="2160"/>
            <w:shd w:fill="DCE6F1" w:color="auto" w:val="clear"/>
          </w:tcPr>
          <w:p>
            <w:pPr>
              <w:jc w:val="center"/>
            </w:pPr>
            <w:r>
              <w:rPr>
                <w:b/>
              </w:rPr>
              <w:t>Avg Burn Events</w:t>
            </w:r>
          </w:p>
        </w:tc>
        <w:tc>
          <w:tcPr>
            <w:tcW w:type="dxa" w:w="2592"/>
            <w:shd w:fill="DCE6F1" w:color="auto" w:val="clear"/>
          </w:tcPr>
          <w:p>
            <w:pPr>
              <w:jc w:val="center"/>
            </w:pPr>
            <w:r>
              <w:rPr>
                <w:b/>
              </w:rPr>
              <w:t>Avg Credits Destroyed</w:t>
            </w:r>
          </w:p>
        </w:tc>
      </w:tr>
      <w:tr>
        <w:tc>
          <w:tcPr>
            <w:tcW w:type="dxa" w:w="2304"/>
          </w:tcPr>
          <w:p>
            <w:pPr>
              <w:jc w:val="left"/>
            </w:pPr>
            <w:r>
              <w:t>24× (2/month)</w:t>
            </w:r>
          </w:p>
        </w:tc>
        <w:tc>
          <w:tcPr>
            <w:tcW w:type="dxa" w:w="2016"/>
          </w:tcPr>
          <w:p>
            <w:pPr>
              <w:jc w:val="left"/>
            </w:pPr>
            <w:r>
              <w:t>4%</w:t>
            </w:r>
          </w:p>
        </w:tc>
        <w:tc>
          <w:tcPr>
            <w:tcW w:type="dxa" w:w="1728"/>
          </w:tcPr>
          <w:p>
            <w:pPr>
              <w:jc w:val="left"/>
            </w:pPr>
            <w:r>
              <w:t>100.00%</w:t>
            </w:r>
          </w:p>
        </w:tc>
        <w:tc>
          <w:tcPr>
            <w:tcW w:type="dxa" w:w="2160"/>
          </w:tcPr>
          <w:p>
            <w:pPr>
              <w:jc w:val="left"/>
            </w:pPr>
            <w:r>
              <w:t>2.0</w:t>
            </w:r>
          </w:p>
        </w:tc>
        <w:tc>
          <w:tcPr>
            <w:tcW w:type="dxa" w:w="2592"/>
          </w:tcPr>
          <w:p>
            <w:pPr>
              <w:jc w:val="left"/>
            </w:pPr>
            <w:r>
              <w:t>26.1%</w:t>
            </w:r>
          </w:p>
        </w:tc>
      </w:tr>
      <w:tr>
        <w:tc>
          <w:tcPr>
            <w:tcW w:type="dxa" w:w="2304"/>
          </w:tcPr>
          <w:p>
            <w:pPr>
              <w:jc w:val="left"/>
            </w:pPr>
            <w:r>
              <w:t>12× (baseline)</w:t>
            </w:r>
          </w:p>
        </w:tc>
        <w:tc>
          <w:tcPr>
            <w:tcW w:type="dxa" w:w="2016"/>
          </w:tcPr>
          <w:p>
            <w:pPr>
              <w:jc w:val="left"/>
            </w:pPr>
            <w:r>
              <w:t>6%</w:t>
            </w:r>
          </w:p>
        </w:tc>
        <w:tc>
          <w:tcPr>
            <w:tcW w:type="dxa" w:w="1728"/>
          </w:tcPr>
          <w:p>
            <w:pPr>
              <w:jc w:val="left"/>
            </w:pPr>
            <w:r>
              <w:t>100.00%</w:t>
            </w:r>
          </w:p>
        </w:tc>
        <w:tc>
          <w:tcPr>
            <w:tcW w:type="dxa" w:w="2160"/>
          </w:tcPr>
          <w:p>
            <w:pPr>
              <w:jc w:val="left"/>
            </w:pPr>
            <w:r>
              <w:t>3.0</w:t>
            </w:r>
          </w:p>
        </w:tc>
        <w:tc>
          <w:tcPr>
            <w:tcW w:type="dxa" w:w="2592"/>
          </w:tcPr>
          <w:p>
            <w:pPr>
              <w:jc w:val="left"/>
            </w:pPr>
            <w:r>
              <w:t>32.8%</w:t>
            </w:r>
          </w:p>
        </w:tc>
      </w:tr>
      <w:tr>
        <w:tc>
          <w:tcPr>
            <w:tcW w:type="dxa" w:w="2304"/>
          </w:tcPr>
          <w:p>
            <w:pPr>
              <w:jc w:val="left"/>
            </w:pPr>
            <w:r>
              <w:t>6× (every 2mo)</w:t>
            </w:r>
          </w:p>
        </w:tc>
        <w:tc>
          <w:tcPr>
            <w:tcW w:type="dxa" w:w="2016"/>
          </w:tcPr>
          <w:p>
            <w:pPr>
              <w:jc w:val="left"/>
            </w:pPr>
            <w:r>
              <w:t>8%</w:t>
            </w:r>
          </w:p>
        </w:tc>
        <w:tc>
          <w:tcPr>
            <w:tcW w:type="dxa" w:w="1728"/>
          </w:tcPr>
          <w:p>
            <w:pPr>
              <w:jc w:val="left"/>
            </w:pPr>
            <w:r>
              <w:t>100.00%</w:t>
            </w:r>
          </w:p>
        </w:tc>
        <w:tc>
          <w:tcPr>
            <w:tcW w:type="dxa" w:w="2160"/>
          </w:tcPr>
          <w:p>
            <w:pPr>
              <w:jc w:val="left"/>
            </w:pPr>
            <w:r>
              <w:t>4.0</w:t>
            </w:r>
          </w:p>
        </w:tc>
        <w:tc>
          <w:tcPr>
            <w:tcW w:type="dxa" w:w="2592"/>
          </w:tcPr>
          <w:p>
            <w:pPr>
              <w:jc w:val="left"/>
            </w:pPr>
            <w:r>
              <w:t>37.2%</w:t>
            </w:r>
          </w:p>
        </w:tc>
      </w:tr>
      <w:tr>
        <w:tc>
          <w:tcPr>
            <w:tcW w:type="dxa" w:w="2304"/>
          </w:tcPr>
          <w:p>
            <w:pPr>
              <w:jc w:val="left"/>
            </w:pPr>
            <w:r>
              <w:t>3× (quarterly)</w:t>
            </w:r>
          </w:p>
        </w:tc>
        <w:tc>
          <w:tcPr>
            <w:tcW w:type="dxa" w:w="2016"/>
          </w:tcPr>
          <w:p>
            <w:pPr>
              <w:jc w:val="left"/>
            </w:pPr>
            <w:r>
              <w:t>11%</w:t>
            </w:r>
          </w:p>
        </w:tc>
        <w:tc>
          <w:tcPr>
            <w:tcW w:type="dxa" w:w="1728"/>
          </w:tcPr>
          <w:p>
            <w:pPr>
              <w:jc w:val="left"/>
            </w:pPr>
            <w:r>
              <w:t>100.00%</w:t>
            </w:r>
          </w:p>
        </w:tc>
        <w:tc>
          <w:tcPr>
            <w:tcW w:type="dxa" w:w="2160"/>
          </w:tcPr>
          <w:p>
            <w:pPr>
              <w:jc w:val="left"/>
            </w:pPr>
            <w:r>
              <w:t>5.0</w:t>
            </w:r>
          </w:p>
        </w:tc>
        <w:tc>
          <w:tcPr>
            <w:tcW w:type="dxa" w:w="2592"/>
          </w:tcPr>
          <w:p>
            <w:pPr>
              <w:jc w:val="left"/>
            </w:pPr>
            <w:r>
              <w:t>34.8%</w:t>
            </w:r>
          </w:p>
        </w:tc>
      </w:tr>
      <w:tr>
        <w:tc>
          <w:tcPr>
            <w:tcW w:type="dxa" w:w="2304"/>
          </w:tcPr>
          <w:p>
            <w:pPr>
              <w:jc w:val="left"/>
            </w:pPr>
            <w:r>
              <w:t>1× (annual)</w:t>
            </w:r>
          </w:p>
        </w:tc>
        <w:tc>
          <w:tcPr>
            <w:tcW w:type="dxa" w:w="2016"/>
          </w:tcPr>
          <w:p>
            <w:pPr>
              <w:jc w:val="left"/>
            </w:pPr>
            <w:r>
              <w:t>14%</w:t>
            </w:r>
          </w:p>
        </w:tc>
        <w:tc>
          <w:tcPr>
            <w:tcW w:type="dxa" w:w="1728"/>
          </w:tcPr>
          <w:p>
            <w:pPr>
              <w:jc w:val="left"/>
            </w:pPr>
            <w:r>
              <w:t>100.00%</w:t>
            </w:r>
          </w:p>
        </w:tc>
        <w:tc>
          <w:tcPr>
            <w:tcW w:type="dxa" w:w="2160"/>
          </w:tcPr>
          <w:p>
            <w:pPr>
              <w:jc w:val="left"/>
            </w:pPr>
            <w:r>
              <w:t>7.0</w:t>
            </w:r>
          </w:p>
        </w:tc>
        <w:tc>
          <w:tcPr>
            <w:tcW w:type="dxa" w:w="2592"/>
          </w:tcPr>
          <w:p>
            <w:pPr>
              <w:jc w:val="left"/>
            </w:pPr>
            <w:r>
              <w:t>43.8%</w:t>
            </w:r>
          </w:p>
        </w:tc>
      </w:tr>
    </w:tbl>
    <w:p/>
    <w:p>
      <w:r>
        <w:rPr>
          <w:b/>
        </w:rPr>
        <w:t xml:space="preserve">Key insight: </w:t>
      </w:r>
      <w:r>
        <w:t>All velocity scenarios are 100% HEALTHY. Lower velocity produces more burns because higher breakage raises the backing ratio faster, crossing the trigger threshold more frequently. Lower velocity is strictly better for the treasury — more liability is destroyed for free.</w:t>
      </w:r>
    </w:p>
    <w:p/>
    <w:p>
      <w:pPr>
        <w:pStyle w:val="Heading2"/>
      </w:pPr>
      <w:r>
        <w:t>6.2  Regime-Switching Growth (Markov Chain)</w:t>
      </w:r>
    </w:p>
    <w:p>
      <w:r>
        <w:t>Models economic cycles: BOOM (N(+2,500, 400)/mo), NORMAL (N(+1,000, 300)/mo), BUST (N(−300, 500)/mo). The system transitions between states each month according to the probability table below.</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CE6F1" w:color="auto" w:val="clear"/>
          </w:tcPr>
          <w:p>
            <w:pPr>
              <w:jc w:val="center"/>
            </w:pPr>
            <w:r>
              <w:rPr>
                <w:b/>
              </w:rPr>
              <w:t>From → To</w:t>
            </w:r>
          </w:p>
        </w:tc>
        <w:tc>
          <w:tcPr>
            <w:tcW w:type="dxa" w:w="2160"/>
            <w:shd w:fill="DCE6F1" w:color="auto" w:val="clear"/>
          </w:tcPr>
          <w:p>
            <w:pPr>
              <w:jc w:val="center"/>
            </w:pPr>
            <w:r>
              <w:rPr>
                <w:b/>
              </w:rPr>
              <w:t>BOOM</w:t>
            </w:r>
          </w:p>
        </w:tc>
        <w:tc>
          <w:tcPr>
            <w:tcW w:type="dxa" w:w="2160"/>
            <w:shd w:fill="DCE6F1" w:color="auto" w:val="clear"/>
          </w:tcPr>
          <w:p>
            <w:pPr>
              <w:jc w:val="center"/>
            </w:pPr>
            <w:r>
              <w:rPr>
                <w:b/>
              </w:rPr>
              <w:t>NORMAL</w:t>
            </w:r>
          </w:p>
        </w:tc>
        <w:tc>
          <w:tcPr>
            <w:tcW w:type="dxa" w:w="2160"/>
            <w:shd w:fill="DCE6F1" w:color="auto" w:val="clear"/>
          </w:tcPr>
          <w:p>
            <w:pPr>
              <w:jc w:val="center"/>
            </w:pPr>
            <w:r>
              <w:rPr>
                <w:b/>
              </w:rPr>
              <w:t>BUST</w:t>
            </w:r>
          </w:p>
        </w:tc>
      </w:tr>
      <w:tr>
        <w:tc>
          <w:tcPr>
            <w:tcW w:type="dxa" w:w="2160"/>
          </w:tcPr>
          <w:p>
            <w:pPr>
              <w:jc w:val="left"/>
            </w:pPr>
            <w:r>
              <w:t>BOOM</w:t>
            </w:r>
          </w:p>
        </w:tc>
        <w:tc>
          <w:tcPr>
            <w:tcW w:type="dxa" w:w="2160"/>
          </w:tcPr>
          <w:p>
            <w:pPr>
              <w:jc w:val="left"/>
            </w:pPr>
            <w:r>
              <w:t>70%</w:t>
            </w:r>
          </w:p>
        </w:tc>
        <w:tc>
          <w:tcPr>
            <w:tcW w:type="dxa" w:w="2160"/>
          </w:tcPr>
          <w:p>
            <w:pPr>
              <w:jc w:val="left"/>
            </w:pPr>
            <w:r>
              <w:t>25%</w:t>
            </w:r>
          </w:p>
        </w:tc>
        <w:tc>
          <w:tcPr>
            <w:tcW w:type="dxa" w:w="2160"/>
          </w:tcPr>
          <w:p>
            <w:pPr>
              <w:jc w:val="left"/>
            </w:pPr>
            <w:r>
              <w:t>5%</w:t>
            </w:r>
          </w:p>
        </w:tc>
      </w:tr>
      <w:tr>
        <w:tc>
          <w:tcPr>
            <w:tcW w:type="dxa" w:w="2160"/>
          </w:tcPr>
          <w:p>
            <w:pPr>
              <w:jc w:val="left"/>
            </w:pPr>
            <w:r>
              <w:t>NORMAL</w:t>
            </w:r>
          </w:p>
        </w:tc>
        <w:tc>
          <w:tcPr>
            <w:tcW w:type="dxa" w:w="2160"/>
          </w:tcPr>
          <w:p>
            <w:pPr>
              <w:jc w:val="left"/>
            </w:pPr>
            <w:r>
              <w:t>15%</w:t>
            </w:r>
          </w:p>
        </w:tc>
        <w:tc>
          <w:tcPr>
            <w:tcW w:type="dxa" w:w="2160"/>
          </w:tcPr>
          <w:p>
            <w:pPr>
              <w:jc w:val="left"/>
            </w:pPr>
            <w:r>
              <w:t>70%</w:t>
            </w:r>
          </w:p>
        </w:tc>
        <w:tc>
          <w:tcPr>
            <w:tcW w:type="dxa" w:w="2160"/>
          </w:tcPr>
          <w:p>
            <w:pPr>
              <w:jc w:val="left"/>
            </w:pPr>
            <w:r>
              <w:t>15%</w:t>
            </w:r>
          </w:p>
        </w:tc>
      </w:tr>
      <w:tr>
        <w:tc>
          <w:tcPr>
            <w:tcW w:type="dxa" w:w="2160"/>
          </w:tcPr>
          <w:p>
            <w:pPr>
              <w:jc w:val="left"/>
            </w:pPr>
            <w:r>
              <w:t>BUST</w:t>
            </w:r>
          </w:p>
        </w:tc>
        <w:tc>
          <w:tcPr>
            <w:tcW w:type="dxa" w:w="2160"/>
          </w:tcPr>
          <w:p>
            <w:pPr>
              <w:jc w:val="left"/>
            </w:pPr>
            <w:r>
              <w:t>5%</w:t>
            </w:r>
          </w:p>
        </w:tc>
        <w:tc>
          <w:tcPr>
            <w:tcW w:type="dxa" w:w="2160"/>
          </w:tcPr>
          <w:p>
            <w:pPr>
              <w:jc w:val="left"/>
            </w:pPr>
            <w:r>
              <w:t>45%</w:t>
            </w:r>
          </w:p>
        </w:tc>
        <w:tc>
          <w:tcPr>
            <w:tcW w:type="dxa" w:w="2160"/>
          </w:tcPr>
          <w:p>
            <w:pPr>
              <w:jc w:val="left"/>
            </w:pPr>
            <w:r>
              <w:t>50%</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Starting State</w:t>
            </w:r>
          </w:p>
        </w:tc>
        <w:tc>
          <w:tcPr>
            <w:tcW w:type="dxa" w:w="1728"/>
            <w:shd w:fill="DCE6F1" w:color="auto" w:val="clear"/>
          </w:tcPr>
          <w:p>
            <w:pPr>
              <w:jc w:val="center"/>
            </w:pPr>
            <w:r>
              <w:rPr>
                <w:b/>
              </w:rPr>
              <w:t>HEALTHY</w:t>
            </w:r>
          </w:p>
        </w:tc>
        <w:tc>
          <w:tcPr>
            <w:tcW w:type="dxa" w:w="1728"/>
            <w:shd w:fill="DCE6F1" w:color="auto" w:val="clear"/>
          </w:tcPr>
          <w:p>
            <w:pPr>
              <w:jc w:val="center"/>
            </w:pPr>
            <w:r>
              <w:rPr>
                <w:b/>
              </w:rPr>
              <w:t>WARNING</w:t>
            </w:r>
          </w:p>
        </w:tc>
        <w:tc>
          <w:tcPr>
            <w:tcW w:type="dxa" w:w="1728"/>
            <w:shd w:fill="DCE6F1" w:color="auto" w:val="clear"/>
          </w:tcPr>
          <w:p>
            <w:pPr>
              <w:jc w:val="center"/>
            </w:pPr>
            <w:r>
              <w:rPr>
                <w:b/>
              </w:rPr>
              <w:t>FAILURE</w:t>
            </w:r>
          </w:p>
        </w:tc>
        <w:tc>
          <w:tcPr>
            <w:tcW w:type="dxa" w:w="2304"/>
            <w:shd w:fill="DCE6F1" w:color="auto" w:val="clear"/>
          </w:tcPr>
          <w:p>
            <w:pPr>
              <w:jc w:val="center"/>
            </w:pPr>
            <w:r>
              <w:rPr>
                <w:b/>
              </w:rPr>
              <w:t>Min Backing (p5)</w:t>
            </w:r>
          </w:p>
        </w:tc>
      </w:tr>
      <w:tr>
        <w:tc>
          <w:tcPr>
            <w:tcW w:type="dxa" w:w="2592"/>
          </w:tcPr>
          <w:p>
            <w:pPr>
              <w:jc w:val="left"/>
            </w:pPr>
            <w:r>
              <w:t>Baseline Gaussian</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97.6%</w:t>
            </w:r>
          </w:p>
        </w:tc>
      </w:tr>
      <w:tr>
        <w:tc>
          <w:tcPr>
            <w:tcW w:type="dxa" w:w="2592"/>
          </w:tcPr>
          <w:p>
            <w:pPr>
              <w:jc w:val="left"/>
            </w:pPr>
            <w:r>
              <w:t>NORMAL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r>
        <w:tc>
          <w:tcPr>
            <w:tcW w:type="dxa" w:w="2592"/>
          </w:tcPr>
          <w:p>
            <w:pPr>
              <w:jc w:val="left"/>
            </w:pPr>
            <w:r>
              <w:t>BOOM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r>
        <w:tc>
          <w:tcPr>
            <w:tcW w:type="dxa" w:w="2592"/>
          </w:tcPr>
          <w:p>
            <w:pPr>
              <w:jc w:val="left"/>
            </w:pPr>
            <w:r>
              <w:t>BUST start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304"/>
          </w:tcPr>
          <w:p>
            <w:pPr>
              <w:jc w:val="left"/>
            </w:pPr>
            <w:r>
              <w:t>97.4%</w:t>
            </w:r>
          </w:p>
        </w:tc>
      </w:tr>
    </w:tbl>
    <w:p/>
    <w:p>
      <w:r>
        <w:rPr>
          <w:b/>
        </w:rPr>
        <w:t xml:space="preserve">Key insight: </w:t>
      </w:r>
      <w:r>
        <w:t>Starting in a BUST state (negative employee growth) is indistinguishable from the Gaussian baseline. The system is growth-shape-agnostic — its solvency does not depend on the growth pattern.</w:t>
      </w:r>
    </w:p>
    <w:p/>
    <w:p>
      <w:pPr>
        <w:pStyle w:val="Heading2"/>
      </w:pPr>
      <w:r>
        <w:t>6.3  Interest Rate Scenarios</w:t>
      </w:r>
    </w:p>
    <w:p>
      <w:r>
        <w:t>Interest income on the treasury wallet is what drives the backing ratio above the burn trigger. This sweep isolates the effect of the interest rate from all other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864"/>
            <w:shd w:fill="DCE6F1" w:color="auto" w:val="clear"/>
          </w:tcPr>
          <w:p>
            <w:pPr>
              <w:jc w:val="center"/>
            </w:pPr>
            <w:r>
              <w:rPr>
                <w:b/>
              </w:rPr>
              <w:t>APR</w:t>
            </w:r>
          </w:p>
        </w:tc>
        <w:tc>
          <w:tcPr>
            <w:tcW w:type="dxa" w:w="1440"/>
            <w:shd w:fill="DCE6F1" w:color="auto" w:val="clear"/>
          </w:tcPr>
          <w:p>
            <w:pPr>
              <w:jc w:val="center"/>
            </w:pPr>
            <w:r>
              <w:rPr>
                <w:b/>
              </w:rPr>
              <w:t>HEALTHY</w:t>
            </w:r>
          </w:p>
        </w:tc>
        <w:tc>
          <w:tcPr>
            <w:tcW w:type="dxa" w:w="1872"/>
            <w:shd w:fill="DCE6F1" w:color="auto" w:val="clear"/>
          </w:tcPr>
          <w:p>
            <w:pPr>
              <w:jc w:val="center"/>
            </w:pPr>
            <w:r>
              <w:rPr>
                <w:b/>
              </w:rPr>
              <w:t>Avg Burn Events</w:t>
            </w:r>
          </w:p>
        </w:tc>
        <w:tc>
          <w:tcPr>
            <w:tcW w:type="dxa" w:w="1872"/>
            <w:shd w:fill="DCE6F1" w:color="auto" w:val="clear"/>
          </w:tcPr>
          <w:p>
            <w:pPr>
              <w:jc w:val="center"/>
            </w:pPr>
            <w:r>
              <w:rPr>
                <w:b/>
              </w:rPr>
              <w:t>Avg Burn Fraction</w:t>
            </w:r>
          </w:p>
        </w:tc>
        <w:tc>
          <w:tcPr>
            <w:tcW w:type="dxa" w:w="3312"/>
            <w:shd w:fill="DCE6F1" w:color="auto" w:val="clear"/>
          </w:tcPr>
          <w:p>
            <w:pPr>
              <w:jc w:val="center"/>
            </w:pPr>
            <w:r>
              <w:rPr>
                <w:b/>
              </w:rPr>
              <w:t>Interpretation</w:t>
            </w:r>
          </w:p>
        </w:tc>
      </w:tr>
      <w:tr>
        <w:tc>
          <w:tcPr>
            <w:tcW w:type="dxa" w:w="864"/>
          </w:tcPr>
          <w:p>
            <w:pPr>
              <w:jc w:val="left"/>
            </w:pPr>
            <w:r>
              <w:t>0%</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Trigger never fires — system stays healthy but never burns</w:t>
            </w:r>
          </w:p>
        </w:tc>
      </w:tr>
      <w:tr>
        <w:tc>
          <w:tcPr>
            <w:tcW w:type="dxa" w:w="864"/>
          </w:tcPr>
          <w:p>
            <w:pPr>
              <w:jc w:val="left"/>
            </w:pPr>
            <w:r>
              <w:t>1%</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 — insufficient compounding over 20 years</w:t>
            </w:r>
          </w:p>
        </w:tc>
      </w:tr>
      <w:tr>
        <w:tc>
          <w:tcPr>
            <w:tcW w:type="dxa" w:w="864"/>
          </w:tcPr>
          <w:p>
            <w:pPr>
              <w:jc w:val="left"/>
            </w:pPr>
            <w:r>
              <w:t>2%</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w:t>
            </w:r>
          </w:p>
        </w:tc>
      </w:tr>
      <w:tr>
        <w:tc>
          <w:tcPr>
            <w:tcW w:type="dxa" w:w="864"/>
          </w:tcPr>
          <w:p>
            <w:pPr>
              <w:jc w:val="left"/>
            </w:pPr>
            <w:r>
              <w:t>3%</w:t>
            </w:r>
          </w:p>
        </w:tc>
        <w:tc>
          <w:tcPr>
            <w:tcW w:type="dxa" w:w="1440"/>
          </w:tcPr>
          <w:p>
            <w:pPr>
              <w:jc w:val="left"/>
            </w:pPr>
            <w:r>
              <w:t>100.00%</w:t>
            </w:r>
          </w:p>
        </w:tc>
        <w:tc>
          <w:tcPr>
            <w:tcW w:type="dxa" w:w="1872"/>
          </w:tcPr>
          <w:p>
            <w:pPr>
              <w:jc w:val="left"/>
            </w:pPr>
            <w:r>
              <w:t>0.0</w:t>
            </w:r>
          </w:p>
        </w:tc>
        <w:tc>
          <w:tcPr>
            <w:tcW w:type="dxa" w:w="1872"/>
          </w:tcPr>
          <w:p>
            <w:pPr>
              <w:jc w:val="left"/>
            </w:pPr>
            <w:r>
              <w:t>0.0%</w:t>
            </w:r>
          </w:p>
        </w:tc>
        <w:tc>
          <w:tcPr>
            <w:tcW w:type="dxa" w:w="3312"/>
          </w:tcPr>
          <w:p>
            <w:pPr>
              <w:jc w:val="left"/>
            </w:pPr>
            <w:r>
              <w:t>Same</w:t>
            </w:r>
          </w:p>
        </w:tc>
      </w:tr>
      <w:tr>
        <w:tc>
          <w:tcPr>
            <w:tcW w:type="dxa" w:w="864"/>
          </w:tcPr>
          <w:p>
            <w:pPr>
              <w:jc w:val="left"/>
            </w:pPr>
            <w:r>
              <w:t>4%</w:t>
            </w:r>
          </w:p>
        </w:tc>
        <w:tc>
          <w:tcPr>
            <w:tcW w:type="dxa" w:w="1440"/>
          </w:tcPr>
          <w:p>
            <w:pPr>
              <w:jc w:val="left"/>
            </w:pPr>
            <w:r>
              <w:t>100.00%</w:t>
            </w:r>
          </w:p>
        </w:tc>
        <w:tc>
          <w:tcPr>
            <w:tcW w:type="dxa" w:w="1872"/>
          </w:tcPr>
          <w:p>
            <w:pPr>
              <w:jc w:val="left"/>
            </w:pPr>
            <w:r>
              <w:t>0.1</w:t>
            </w:r>
          </w:p>
        </w:tc>
        <w:tc>
          <w:tcPr>
            <w:tcW w:type="dxa" w:w="1872"/>
          </w:tcPr>
          <w:p>
            <w:pPr>
              <w:jc w:val="left"/>
            </w:pPr>
            <w:r>
              <w:t>1.8%</w:t>
            </w:r>
          </w:p>
        </w:tc>
        <w:tc>
          <w:tcPr>
            <w:tcW w:type="dxa" w:w="3312"/>
          </w:tcPr>
          <w:p>
            <w:pPr>
              <w:jc w:val="left"/>
            </w:pPr>
            <w:r>
              <w:t>Baseline — trigger barely fires near month 240</w:t>
            </w:r>
          </w:p>
        </w:tc>
      </w:tr>
      <w:tr>
        <w:tc>
          <w:tcPr>
            <w:tcW w:type="dxa" w:w="864"/>
          </w:tcPr>
          <w:p>
            <w:pPr>
              <w:jc w:val="left"/>
            </w:pPr>
            <w:r>
              <w:t>6%</w:t>
            </w:r>
          </w:p>
        </w:tc>
        <w:tc>
          <w:tcPr>
            <w:tcW w:type="dxa" w:w="1440"/>
          </w:tcPr>
          <w:p>
            <w:pPr>
              <w:jc w:val="left"/>
            </w:pPr>
            <w:r>
              <w:t>100.00%</w:t>
            </w:r>
          </w:p>
        </w:tc>
        <w:tc>
          <w:tcPr>
            <w:tcW w:type="dxa" w:w="1872"/>
          </w:tcPr>
          <w:p>
            <w:pPr>
              <w:jc w:val="left"/>
            </w:pPr>
            <w:r>
              <w:t>1.0</w:t>
            </w:r>
          </w:p>
        </w:tc>
        <w:tc>
          <w:tcPr>
            <w:tcW w:type="dxa" w:w="1872"/>
          </w:tcPr>
          <w:p>
            <w:pPr>
              <w:jc w:val="left"/>
            </w:pPr>
            <w:r>
              <w:t>16.1%</w:t>
            </w:r>
          </w:p>
        </w:tc>
        <w:tc>
          <w:tcPr>
            <w:tcW w:type="dxa" w:w="3312"/>
          </w:tcPr>
          <w:p>
            <w:pPr>
              <w:jc w:val="left"/>
            </w:pPr>
            <w:r>
              <w:t>Higher compounding fires trigger earlier</w:t>
            </w:r>
          </w:p>
        </w:tc>
      </w:tr>
      <w:tr>
        <w:tc>
          <w:tcPr>
            <w:tcW w:type="dxa" w:w="864"/>
          </w:tcPr>
          <w:p>
            <w:pPr>
              <w:jc w:val="left"/>
            </w:pPr>
            <w:r>
              <w:t>8%</w:t>
            </w:r>
          </w:p>
        </w:tc>
        <w:tc>
          <w:tcPr>
            <w:tcW w:type="dxa" w:w="1440"/>
          </w:tcPr>
          <w:p>
            <w:pPr>
              <w:jc w:val="left"/>
            </w:pPr>
            <w:r>
              <w:t>100.00%</w:t>
            </w:r>
          </w:p>
        </w:tc>
        <w:tc>
          <w:tcPr>
            <w:tcW w:type="dxa" w:w="1872"/>
          </w:tcPr>
          <w:p>
            <w:pPr>
              <w:jc w:val="left"/>
            </w:pPr>
            <w:r>
              <w:t>2.0</w:t>
            </w:r>
          </w:p>
        </w:tc>
        <w:tc>
          <w:tcPr>
            <w:tcW w:type="dxa" w:w="1872"/>
          </w:tcPr>
          <w:p>
            <w:pPr>
              <w:jc w:val="left"/>
            </w:pPr>
            <w:r>
              <w:t>28.0%</w:t>
            </w:r>
          </w:p>
        </w:tc>
        <w:tc>
          <w:tcPr>
            <w:tcW w:type="dxa" w:w="3312"/>
          </w:tcPr>
          <w:p>
            <w:pPr>
              <w:jc w:val="left"/>
            </w:pPr>
            <w:r>
              <w:t>Two burn events; more liability destroyed</w:t>
            </w:r>
          </w:p>
        </w:tc>
      </w:tr>
    </w:tbl>
    <w:p/>
    <w:p>
      <w:r>
        <w:rPr>
          <w:b/>
        </w:rPr>
        <w:t xml:space="preserve">Key insight: </w:t>
      </w:r>
      <w:r>
        <w:t>Interest rate drives burn timing. At 0–3% APR, the 1.332× trigger never fires over 20 years — the treasury grows but never reaches the threshold. This is a design consideration: if long-term rates decline, the program may need a lower trigger to execute any burns.</w:t>
      </w:r>
    </w:p>
    <w:p/>
    <w:p>
      <w:pPr>
        <w:pStyle w:val="Heading2"/>
      </w:pPr>
      <w:r>
        <w:t>6.4  Regulatory Shock (Floor Change)</w:t>
      </w:r>
    </w:p>
    <w:p>
      <w:r>
        <w:t>Tests the impact of a regulatory mandate requiring a higher minimum backing ratio. The floor affects both the FAILURE threshold and the affordability cap on burn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fill="DCE6F1" w:color="auto" w:val="clear"/>
          </w:tcPr>
          <w:p>
            <w:pPr>
              <w:jc w:val="center"/>
            </w:pPr>
            <w:r>
              <w:rPr>
                <w:b/>
              </w:rPr>
              <w:t>Required Floor</w:t>
            </w:r>
          </w:p>
        </w:tc>
        <w:tc>
          <w:tcPr>
            <w:tcW w:type="dxa" w:w="1728"/>
            <w:shd w:fill="DCE6F1" w:color="auto" w:val="clear"/>
          </w:tcPr>
          <w:p>
            <w:pPr>
              <w:jc w:val="center"/>
            </w:pPr>
            <w:r>
              <w:rPr>
                <w:b/>
              </w:rPr>
              <w:t>HEALTHY</w:t>
            </w:r>
          </w:p>
        </w:tc>
        <w:tc>
          <w:tcPr>
            <w:tcW w:type="dxa" w:w="1728"/>
            <w:shd w:fill="DCE6F1" w:color="auto" w:val="clear"/>
          </w:tcPr>
          <w:p>
            <w:pPr>
              <w:jc w:val="center"/>
            </w:pPr>
            <w:r>
              <w:rPr>
                <w:b/>
              </w:rPr>
              <w:t>WARNING</w:t>
            </w:r>
          </w:p>
        </w:tc>
        <w:tc>
          <w:tcPr>
            <w:tcW w:type="dxa" w:w="1728"/>
            <w:shd w:fill="DCE6F1" w:color="auto" w:val="clear"/>
          </w:tcPr>
          <w:p>
            <w:pPr>
              <w:jc w:val="center"/>
            </w:pPr>
            <w:r>
              <w:rPr>
                <w:b/>
              </w:rPr>
              <w:t>FAILURE</w:t>
            </w:r>
          </w:p>
        </w:tc>
        <w:tc>
          <w:tcPr>
            <w:tcW w:type="dxa" w:w="2592"/>
            <w:shd w:fill="DCE6F1" w:color="auto" w:val="clear"/>
          </w:tcPr>
          <w:p>
            <w:pPr>
              <w:jc w:val="center"/>
            </w:pPr>
            <w:r>
              <w:rPr>
                <w:b/>
              </w:rPr>
              <w:t>Avg Burn Fraction</w:t>
            </w:r>
          </w:p>
        </w:tc>
      </w:tr>
      <w:tr>
        <w:tc>
          <w:tcPr>
            <w:tcW w:type="dxa" w:w="2880"/>
          </w:tcPr>
          <w:p>
            <w:pPr>
              <w:jc w:val="left"/>
            </w:pPr>
            <w:r>
              <w:t>50% (current)</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r>
        <w:tc>
          <w:tcPr>
            <w:tcW w:type="dxa" w:w="2880"/>
          </w:tcPr>
          <w:p>
            <w:pPr>
              <w:jc w:val="left"/>
            </w:pPr>
            <w:r>
              <w:t>75% (raised)</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r>
        <w:tc>
          <w:tcPr>
            <w:tcW w:type="dxa" w:w="2880"/>
          </w:tcPr>
          <w:p>
            <w:pPr>
              <w:jc w:val="left"/>
            </w:pPr>
            <w:r>
              <w:t>100% (full backing)</w:t>
            </w:r>
          </w:p>
        </w:tc>
        <w:tc>
          <w:tcPr>
            <w:tcW w:type="dxa" w:w="1728"/>
          </w:tcPr>
          <w:p>
            <w:pPr>
              <w:jc w:val="left"/>
            </w:pPr>
            <w:r>
              <w:t>100.00%</w:t>
            </w:r>
          </w:p>
        </w:tc>
        <w:tc>
          <w:tcPr>
            <w:tcW w:type="dxa" w:w="1728"/>
          </w:tcPr>
          <w:p>
            <w:pPr>
              <w:jc w:val="left"/>
            </w:pPr>
            <w:r>
              <w:t>0.00%</w:t>
            </w:r>
          </w:p>
        </w:tc>
        <w:tc>
          <w:tcPr>
            <w:tcW w:type="dxa" w:w="1728"/>
          </w:tcPr>
          <w:p>
            <w:pPr>
              <w:jc w:val="left"/>
            </w:pPr>
            <w:r>
              <w:t>0.00%</w:t>
            </w:r>
          </w:p>
        </w:tc>
        <w:tc>
          <w:tcPr>
            <w:tcW w:type="dxa" w:w="2592"/>
          </w:tcPr>
          <w:p>
            <w:pPr>
              <w:jc w:val="left"/>
            </w:pPr>
            <w:r>
              <w:t>1.8%</w:t>
            </w:r>
          </w:p>
        </w:tc>
      </w:tr>
    </w:tbl>
    <w:p/>
    <w:p>
      <w:r>
        <w:rPr>
          <w:b/>
        </w:rPr>
        <w:t xml:space="preserve">Key insight: </w:t>
      </w:r>
      <w:r>
        <w:t>Raising the floor to 100% has no impact. Since the burn trigger (1.332×) already sits well above 100%, the system is always in compliance before any burn. A regulator requiring full backing would find the treasury already over-collateralized throughout.</w:t>
      </w:r>
    </w:p>
    <w:p/>
    <w:p>
      <w:pPr>
        <w:pStyle w:val="Heading2"/>
      </w:pPr>
      <w:r>
        <w:t>6.5  Burn Timing Alternatives</w:t>
      </w:r>
    </w:p>
    <w:p>
      <w:r>
        <w:t>Compares the current threshold-triggered approach against fixed calendar schedules.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Timing Method</w:t>
            </w:r>
          </w:p>
        </w:tc>
        <w:tc>
          <w:tcPr>
            <w:tcW w:type="dxa" w:w="3600"/>
            <w:shd w:fill="DCE6F1" w:color="auto" w:val="clear"/>
          </w:tcPr>
          <w:p>
            <w:pPr>
              <w:jc w:val="center"/>
            </w:pPr>
            <w:r>
              <w:rPr>
                <w:b/>
              </w:rPr>
              <w:t>Description</w:t>
            </w:r>
          </w:p>
        </w:tc>
        <w:tc>
          <w:tcPr>
            <w:tcW w:type="dxa" w:w="1440"/>
            <w:shd w:fill="DCE6F1" w:color="auto" w:val="clear"/>
          </w:tcPr>
          <w:p>
            <w:pPr>
              <w:jc w:val="center"/>
            </w:pPr>
            <w:r>
              <w:rPr>
                <w:b/>
              </w:rPr>
              <w:t>HEALTHY</w:t>
            </w:r>
          </w:p>
        </w:tc>
        <w:tc>
          <w:tcPr>
            <w:tcW w:type="dxa" w:w="1440"/>
            <w:shd w:fill="DCE6F1" w:color="auto" w:val="clear"/>
          </w:tcPr>
          <w:p>
            <w:pPr>
              <w:jc w:val="center"/>
            </w:pPr>
            <w:r>
              <w:rPr>
                <w:b/>
              </w:rPr>
              <w:t>Avg Burns</w:t>
            </w:r>
          </w:p>
        </w:tc>
        <w:tc>
          <w:tcPr>
            <w:tcW w:type="dxa" w:w="2160"/>
            <w:shd w:fill="DCE6F1" w:color="auto" w:val="clear"/>
          </w:tcPr>
          <w:p>
            <w:pPr>
              <w:jc w:val="center"/>
            </w:pPr>
            <w:r>
              <w:rPr>
                <w:b/>
              </w:rPr>
              <w:t>Avg Burn Fraction</w:t>
            </w:r>
          </w:p>
        </w:tc>
      </w:tr>
      <w:tr>
        <w:tc>
          <w:tcPr>
            <w:tcW w:type="dxa" w:w="2592"/>
          </w:tcPr>
          <w:p>
            <w:pPr>
              <w:jc w:val="left"/>
            </w:pPr>
            <w:r>
              <w:t>Threshold (current)</w:t>
            </w:r>
          </w:p>
        </w:tc>
        <w:tc>
          <w:tcPr>
            <w:tcW w:type="dxa" w:w="3600"/>
          </w:tcPr>
          <w:p>
            <w:pPr>
              <w:jc w:val="left"/>
            </w:pPr>
            <w:r>
              <w:t>Fire when backing ≥ 1.332×</w:t>
            </w:r>
          </w:p>
        </w:tc>
        <w:tc>
          <w:tcPr>
            <w:tcW w:type="dxa" w:w="1440"/>
          </w:tcPr>
          <w:p>
            <w:pPr>
              <w:jc w:val="left"/>
            </w:pPr>
            <w:r>
              <w:t>100.00%</w:t>
            </w:r>
          </w:p>
        </w:tc>
        <w:tc>
          <w:tcPr>
            <w:tcW w:type="dxa" w:w="1440"/>
          </w:tcPr>
          <w:p>
            <w:pPr>
              <w:jc w:val="left"/>
            </w:pPr>
            <w:r>
              <w:t>0.1</w:t>
            </w:r>
          </w:p>
        </w:tc>
        <w:tc>
          <w:tcPr>
            <w:tcW w:type="dxa" w:w="2160"/>
          </w:tcPr>
          <w:p>
            <w:pPr>
              <w:jc w:val="left"/>
            </w:pPr>
            <w:r>
              <w:t>1.8%</w:t>
            </w:r>
          </w:p>
        </w:tc>
      </w:tr>
      <w:tr>
        <w:tc>
          <w:tcPr>
            <w:tcW w:type="dxa" w:w="2592"/>
          </w:tcPr>
          <w:p>
            <w:pPr>
              <w:jc w:val="left"/>
            </w:pPr>
            <w:r>
              <w:t>Annual calendar</w:t>
            </w:r>
          </w:p>
        </w:tc>
        <w:tc>
          <w:tcPr>
            <w:tcW w:type="dxa" w:w="3600"/>
          </w:tcPr>
          <w:p>
            <w:pPr>
              <w:jc w:val="left"/>
            </w:pPr>
            <w:r>
              <w:t>Fire on month 12, 24, 36… if ≥ 1.332×</w:t>
            </w:r>
          </w:p>
        </w:tc>
        <w:tc>
          <w:tcPr>
            <w:tcW w:type="dxa" w:w="1440"/>
          </w:tcPr>
          <w:p>
            <w:pPr>
              <w:jc w:val="left"/>
            </w:pPr>
            <w:r>
              <w:t>100.00%</w:t>
            </w:r>
          </w:p>
        </w:tc>
        <w:tc>
          <w:tcPr>
            <w:tcW w:type="dxa" w:w="1440"/>
          </w:tcPr>
          <w:p>
            <w:pPr>
              <w:jc w:val="left"/>
            </w:pPr>
            <w:r>
              <w:t>0.1</w:t>
            </w:r>
          </w:p>
        </w:tc>
        <w:tc>
          <w:tcPr>
            <w:tcW w:type="dxa" w:w="2160"/>
          </w:tcPr>
          <w:p>
            <w:pPr>
              <w:jc w:val="left"/>
            </w:pPr>
            <w:r>
              <w:t>1.8%</w:t>
            </w:r>
          </w:p>
        </w:tc>
      </w:tr>
      <w:tr>
        <w:tc>
          <w:tcPr>
            <w:tcW w:type="dxa" w:w="2592"/>
          </w:tcPr>
          <w:p>
            <w:pPr>
              <w:jc w:val="left"/>
            </w:pPr>
            <w:r>
              <w:t>Quarterly calendar</w:t>
            </w:r>
          </w:p>
        </w:tc>
        <w:tc>
          <w:tcPr>
            <w:tcW w:type="dxa" w:w="3600"/>
          </w:tcPr>
          <w:p>
            <w:pPr>
              <w:jc w:val="left"/>
            </w:pPr>
            <w:r>
              <w:t>Fire on month 3, 6, 9… if ≥ 1.332×</w:t>
            </w:r>
          </w:p>
        </w:tc>
        <w:tc>
          <w:tcPr>
            <w:tcW w:type="dxa" w:w="1440"/>
          </w:tcPr>
          <w:p>
            <w:pPr>
              <w:jc w:val="left"/>
            </w:pPr>
            <w:r>
              <w:t>100.00%</w:t>
            </w:r>
          </w:p>
        </w:tc>
        <w:tc>
          <w:tcPr>
            <w:tcW w:type="dxa" w:w="1440"/>
          </w:tcPr>
          <w:p>
            <w:pPr>
              <w:jc w:val="left"/>
            </w:pPr>
            <w:r>
              <w:t>0.1</w:t>
            </w:r>
          </w:p>
        </w:tc>
        <w:tc>
          <w:tcPr>
            <w:tcW w:type="dxa" w:w="2160"/>
          </w:tcPr>
          <w:p>
            <w:pPr>
              <w:jc w:val="left"/>
            </w:pPr>
            <w:r>
              <w:t>1.8%</w:t>
            </w:r>
          </w:p>
        </w:tc>
      </w:tr>
    </w:tbl>
    <w:p/>
    <w:p>
      <w:r>
        <w:rPr>
          <w:b/>
        </w:rPr>
        <w:t xml:space="preserve">Key insight: </w:t>
      </w:r>
      <w:r>
        <w:t>All three timing methods produce identical outcomes. The trigger threshold is the controlling factor, not the cadence at which it is checked. Fixed-calendar burns may be preferable operationally (predictable, auditable) without any loss of effectiveness.</w:t>
      </w:r>
    </w:p>
    <w:p/>
    <w:p>
      <w:pPr>
        <w:pStyle w:val="Heading2"/>
      </w:pPr>
      <w:r>
        <w:t>6.6  Correlated Adversity</w:t>
      </w:r>
    </w:p>
    <w:p>
      <w:r>
        <w:t>Multiple adverse conditions applied simultaneously. Growth bust = employee count declines by 50% or 90% after month 12.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032"/>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440"/>
            <w:shd w:fill="DCE6F1" w:color="auto" w:val="clear"/>
          </w:tcPr>
          <w:p>
            <w:pPr>
              <w:jc w:val="center"/>
            </w:pPr>
            <w:r>
              <w:rPr>
                <w:b/>
              </w:rPr>
              <w:t>WARNING</w:t>
            </w:r>
          </w:p>
        </w:tc>
        <w:tc>
          <w:tcPr>
            <w:tcW w:type="dxa" w:w="1440"/>
            <w:shd w:fill="DCE6F1" w:color="auto" w:val="clear"/>
          </w:tcPr>
          <w:p>
            <w:pPr>
              <w:jc w:val="center"/>
            </w:pPr>
            <w:r>
              <w:rPr>
                <w:b/>
              </w:rPr>
              <w:t>FAILURE</w:t>
            </w:r>
          </w:p>
        </w:tc>
        <w:tc>
          <w:tcPr>
            <w:tcW w:type="dxa" w:w="2160"/>
            <w:shd w:fill="DCE6F1" w:color="auto" w:val="clear"/>
          </w:tcPr>
          <w:p>
            <w:pPr>
              <w:jc w:val="center"/>
            </w:pPr>
            <w:r>
              <w:rPr>
                <w:b/>
              </w:rPr>
              <w:t>Min Backing (p5)</w:t>
            </w:r>
          </w:p>
        </w:tc>
      </w:tr>
      <w:tr>
        <w:tc>
          <w:tcPr>
            <w:tcW w:type="dxa" w:w="4032"/>
          </w:tcPr>
          <w:p>
            <w:pPr>
              <w:jc w:val="left"/>
            </w:pPr>
            <w:r>
              <w:t>Baseline</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97.6%</w:t>
            </w:r>
          </w:p>
        </w:tc>
      </w:tr>
      <w:tr>
        <w:tc>
          <w:tcPr>
            <w:tcW w:type="dxa" w:w="4032"/>
          </w:tcPr>
          <w:p>
            <w:pPr>
              <w:jc w:val="left"/>
            </w:pPr>
            <w:r>
              <w:t>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Growth bust −50%</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97.4%</w:t>
            </w:r>
          </w:p>
        </w:tc>
      </w:tr>
      <w:tr>
        <w:tc>
          <w:tcPr>
            <w:tcW w:type="dxa" w:w="4032"/>
          </w:tcPr>
          <w:p>
            <w:pPr>
              <w:jc w:val="left"/>
            </w:pPr>
            <w:r>
              <w:t>Growth bust + 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Severe bust −90%</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97.4%</w:t>
            </w:r>
          </w:p>
        </w:tc>
      </w:tr>
      <w:tr>
        <w:tc>
          <w:tcPr>
            <w:tcW w:type="dxa" w:w="4032"/>
          </w:tcPr>
          <w:p>
            <w:pPr>
              <w:jc w:val="left"/>
            </w:pPr>
            <w:r>
              <w:t>Severe bust + zero interest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r>
        <w:tc>
          <w:tcPr>
            <w:tcW w:type="dxa" w:w="4032"/>
          </w:tcPr>
          <w:p>
            <w:pPr>
              <w:jc w:val="left"/>
            </w:pPr>
            <w:r>
              <w:t>All adverse + 75% floor requirement</w:t>
            </w:r>
          </w:p>
        </w:tc>
        <w:tc>
          <w:tcPr>
            <w:tcW w:type="dxa" w:w="1440"/>
          </w:tcPr>
          <w:p>
            <w:pPr>
              <w:jc w:val="left"/>
            </w:pPr>
            <w:r>
              <w:t>100.00%</w:t>
            </w:r>
          </w:p>
        </w:tc>
        <w:tc>
          <w:tcPr>
            <w:tcW w:type="dxa" w:w="1440"/>
          </w:tcPr>
          <w:p>
            <w:pPr>
              <w:jc w:val="left"/>
            </w:pPr>
            <w:r>
              <w:t>0.00%</w:t>
            </w:r>
          </w:p>
        </w:tc>
        <w:tc>
          <w:tcPr>
            <w:tcW w:type="dxa" w:w="1440"/>
          </w:tcPr>
          <w:p>
            <w:pPr>
              <w:jc w:val="left"/>
            </w:pPr>
            <w:r>
              <w:t>0.00%</w:t>
            </w:r>
          </w:p>
        </w:tc>
        <w:tc>
          <w:tcPr>
            <w:tcW w:type="dxa" w:w="2160"/>
          </w:tcPr>
          <w:p>
            <w:pPr>
              <w:jc w:val="left"/>
            </w:pPr>
            <w:r>
              <w:t>100.0%</w:t>
            </w:r>
          </w:p>
        </w:tc>
      </w:tr>
    </w:tbl>
    <w:p/>
    <w:p>
      <w:r>
        <w:rPr>
          <w:b/>
        </w:rPr>
        <w:t xml:space="preserve">Key insight: </w:t>
      </w:r>
      <w:r>
        <w:t>Correlated adversity does not produce WARNING or FAILURE. Paradoxically, zero interest combined with growth bust actually yields p5 = 100.0% (burns never fire, so backing stays at its structural floor of exactly 100%).</w:t>
      </w:r>
    </w:p>
    <w:p/>
    <w:p>
      <w:pPr>
        <w:pStyle w:val="Heading2"/>
      </w:pPr>
      <w:r>
        <w:t>6.7  Tornado Chart — Parameter Sensitivity Ranking</w:t>
      </w:r>
    </w:p>
    <w:p>
      <w:r>
        <w:t>Each parameter was swept across its full range while all others were held at optimal values. The range in HEALTHY rate caused by each parameter measures its leverage over system health.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592"/>
            <w:shd w:fill="DCE6F1" w:color="auto" w:val="clear"/>
          </w:tcPr>
          <w:p>
            <w:pPr>
              <w:jc w:val="center"/>
            </w:pPr>
            <w:r>
              <w:rPr>
                <w:b/>
              </w:rPr>
              <w:t>Parameter</w:t>
            </w:r>
          </w:p>
        </w:tc>
        <w:tc>
          <w:tcPr>
            <w:tcW w:type="dxa" w:w="1728"/>
            <w:shd w:fill="DCE6F1" w:color="auto" w:val="clear"/>
          </w:tcPr>
          <w:p>
            <w:pPr>
              <w:jc w:val="center"/>
            </w:pPr>
            <w:r>
              <w:rPr>
                <w:b/>
              </w:rPr>
              <w:t>Min HEALTHY</w:t>
            </w:r>
          </w:p>
        </w:tc>
        <w:tc>
          <w:tcPr>
            <w:tcW w:type="dxa" w:w="1728"/>
            <w:shd w:fill="DCE6F1" w:color="auto" w:val="clear"/>
          </w:tcPr>
          <w:p>
            <w:pPr>
              <w:jc w:val="center"/>
            </w:pPr>
            <w:r>
              <w:rPr>
                <w:b/>
              </w:rPr>
              <w:t>Max HEALTHY</w:t>
            </w:r>
          </w:p>
        </w:tc>
        <w:tc>
          <w:tcPr>
            <w:tcW w:type="dxa" w:w="2160"/>
            <w:shd w:fill="DCE6F1" w:color="auto" w:val="clear"/>
          </w:tcPr>
          <w:p>
            <w:pPr>
              <w:jc w:val="center"/>
            </w:pPr>
            <w:r>
              <w:rPr>
                <w:b/>
              </w:rPr>
              <w:t>Range (Impact)</w:t>
            </w:r>
          </w:p>
        </w:tc>
        <w:tc>
          <w:tcPr>
            <w:tcW w:type="dxa" w:w="2880"/>
            <w:shd w:fill="DCE6F1" w:color="auto" w:val="clear"/>
          </w:tcPr>
          <w:p>
            <w:pPr>
              <w:jc w:val="center"/>
            </w:pPr>
            <w:r>
              <w:rPr>
                <w:b/>
              </w:rPr>
              <w:t>Conclusion</w:t>
            </w:r>
          </w:p>
        </w:tc>
      </w:tr>
      <w:tr>
        <w:tc>
          <w:tcPr>
            <w:tcW w:type="dxa" w:w="2592"/>
          </w:tcPr>
          <w:p>
            <w:pPr>
              <w:jc w:val="left"/>
            </w:pPr>
            <w:r>
              <w:t>Trigger ratio</w:t>
            </w:r>
          </w:p>
        </w:tc>
        <w:tc>
          <w:tcPr>
            <w:tcW w:type="dxa" w:w="1728"/>
          </w:tcPr>
          <w:p>
            <w:pPr>
              <w:jc w:val="left"/>
            </w:pPr>
            <w:r>
              <w:t>0.0%</w:t>
            </w:r>
          </w:p>
        </w:tc>
        <w:tc>
          <w:tcPr>
            <w:tcW w:type="dxa" w:w="1728"/>
          </w:tcPr>
          <w:p>
            <w:pPr>
              <w:jc w:val="left"/>
            </w:pPr>
            <w:r>
              <w:t>100.0%</w:t>
            </w:r>
          </w:p>
        </w:tc>
        <w:tc>
          <w:tcPr>
            <w:tcW w:type="dxa" w:w="2160"/>
          </w:tcPr>
          <w:p>
            <w:pPr>
              <w:jc w:val="left"/>
            </w:pPr>
            <w:r>
              <w:t>100.0% ★</w:t>
            </w:r>
          </w:p>
        </w:tc>
        <w:tc>
          <w:tcPr>
            <w:tcW w:type="dxa" w:w="2880"/>
          </w:tcPr>
          <w:p>
            <w:pPr>
              <w:jc w:val="left"/>
            </w:pPr>
            <w:r>
              <w:t>Single controlling factor — cliff at 1.2×</w:t>
            </w:r>
          </w:p>
        </w:tc>
      </w:tr>
      <w:tr>
        <w:tc>
          <w:tcPr>
            <w:tcW w:type="dxa" w:w="2592"/>
          </w:tcPr>
          <w:p>
            <w:pPr>
              <w:jc w:val="left"/>
            </w:pPr>
            <w:r>
              <w:t>Burn size %</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r>
        <w:tc>
          <w:tcPr>
            <w:tcW w:type="dxa" w:w="2592"/>
          </w:tcPr>
          <w:p>
            <w:pPr>
              <w:jc w:val="left"/>
            </w:pPr>
            <w:r>
              <w:t>Cooldown months</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r>
        <w:tc>
          <w:tcPr>
            <w:tcW w:type="dxa" w:w="2592"/>
          </w:tcPr>
          <w:p>
            <w:pPr>
              <w:jc w:val="left"/>
            </w:pPr>
            <w:r>
              <w:t>First eligible month</w:t>
            </w:r>
          </w:p>
        </w:tc>
        <w:tc>
          <w:tcPr>
            <w:tcW w:type="dxa" w:w="1728"/>
          </w:tcPr>
          <w:p>
            <w:pPr>
              <w:jc w:val="left"/>
            </w:pPr>
            <w:r>
              <w:t>100.0%</w:t>
            </w:r>
          </w:p>
        </w:tc>
        <w:tc>
          <w:tcPr>
            <w:tcW w:type="dxa" w:w="1728"/>
          </w:tcPr>
          <w:p>
            <w:pPr>
              <w:jc w:val="left"/>
            </w:pPr>
            <w:r>
              <w:t>100.0%</w:t>
            </w:r>
          </w:p>
        </w:tc>
        <w:tc>
          <w:tcPr>
            <w:tcW w:type="dxa" w:w="2160"/>
          </w:tcPr>
          <w:p>
            <w:pPr>
              <w:jc w:val="left"/>
            </w:pPr>
            <w:r>
              <w:t>0.0%</w:t>
            </w:r>
          </w:p>
        </w:tc>
        <w:tc>
          <w:tcPr>
            <w:tcW w:type="dxa" w:w="2880"/>
          </w:tcPr>
          <w:p>
            <w:pPr>
              <w:jc w:val="left"/>
            </w:pPr>
            <w:r>
              <w:t>No impact on HEALTHY rate</w:t>
            </w:r>
          </w:p>
        </w:tc>
      </w:tr>
    </w:tbl>
    <w:p/>
    <w:p>
      <w:r>
        <w:rPr>
          <w:b/>
        </w:rPr>
        <w:t xml:space="preserve">Key insight: </w:t>
      </w:r>
      <w:r>
        <w:t>Trigger ratio is the entire risk surface. Set it below 1.2× and HEALTHY rate collapses to 0%. Set it at or above 1.2× and HEALTHY rate is 100% regardless of all other parameters. Burn size, cooldown, and first eligible only determine how much liability is destroyed, not whether the system survives.</w:t>
      </w:r>
    </w:p>
    <w:p/>
    <w:p>
      <w:pPr>
        <w:pStyle w:val="Heading2"/>
      </w:pPr>
      <w:r>
        <w:t>6.8  Tail Risk Analysis</w:t>
      </w:r>
    </w:p>
    <w:p>
      <w:r>
        <w:t>Analyzes the distribution of worst-case (minimum) backing ratios across 5,000 runs, focusing on the left tail — the scenarios where the system came closest to stress.</w:t>
      </w:r>
    </w:p>
    <w:tbl>
      <w:tblPr>
        <w:tblStyle w:val="TableGrid"/>
        <w:tblW w:type="auto" w:w="0"/>
        <w:tblLook w:firstColumn="1" w:firstRow="1" w:lastColumn="0" w:lastRow="0" w:noHBand="0" w:noVBand="1" w:val="04A0"/>
      </w:tblPr>
      <w:tblGrid>
        <w:gridCol w:w="2160"/>
        <w:gridCol w:w="2160"/>
        <w:gridCol w:w="2160"/>
        <w:gridCol w:w="2160"/>
      </w:tblGrid>
      <w:tr>
        <w:tc>
          <w:tcPr>
            <w:tcW w:type="dxa" w:w="2880"/>
            <w:shd w:fill="DCE6F1" w:color="auto" w:val="clear"/>
          </w:tcPr>
          <w:p>
            <w:pPr>
              <w:jc w:val="center"/>
            </w:pPr>
            <w:r>
              <w:rPr>
                <w:b/>
              </w:rPr>
              <w:t>Percentile</w:t>
            </w:r>
          </w:p>
        </w:tc>
        <w:tc>
          <w:tcPr>
            <w:tcW w:type="dxa" w:w="2304"/>
            <w:shd w:fill="DCE6F1" w:color="auto" w:val="clear"/>
          </w:tcPr>
          <w:p>
            <w:pPr>
              <w:jc w:val="center"/>
            </w:pPr>
            <w:r>
              <w:rPr>
                <w:b/>
              </w:rPr>
              <w:t>Min Backing Ratio</w:t>
            </w:r>
          </w:p>
        </w:tc>
        <w:tc>
          <w:tcPr>
            <w:tcW w:type="dxa" w:w="1440"/>
            <w:shd w:fill="DCE6F1" w:color="auto" w:val="clear"/>
          </w:tcPr>
          <w:p>
            <w:pPr>
              <w:jc w:val="center"/>
            </w:pPr>
            <w:r>
              <w:rPr>
                <w:b/>
              </w:rPr>
              <w:t>Status</w:t>
            </w:r>
          </w:p>
        </w:tc>
        <w:tc>
          <w:tcPr>
            <w:tcW w:type="dxa" w:w="4176"/>
            <w:shd w:fill="DCE6F1" w:color="auto" w:val="clear"/>
          </w:tcPr>
          <w:p>
            <w:pPr>
              <w:jc w:val="center"/>
            </w:pPr>
            <w:r>
              <w:rPr>
                <w:b/>
              </w:rPr>
              <w:t>Interpretation</w:t>
            </w:r>
          </w:p>
        </w:tc>
      </w:tr>
      <w:tr>
        <w:tc>
          <w:tcPr>
            <w:tcW w:type="dxa" w:w="2880"/>
          </w:tcPr>
          <w:p>
            <w:pPr>
              <w:jc w:val="left"/>
            </w:pPr>
            <w:r>
              <w:t>p0.1 (worst 1-in-1000)</w:t>
            </w:r>
          </w:p>
        </w:tc>
        <w:tc>
          <w:tcPr>
            <w:tcW w:type="dxa" w:w="2304"/>
          </w:tcPr>
          <w:p>
            <w:pPr>
              <w:jc w:val="left"/>
            </w:pPr>
            <w:r>
              <w:t>97.4%</w:t>
            </w:r>
          </w:p>
        </w:tc>
        <w:tc>
          <w:tcPr>
            <w:tcW w:type="dxa" w:w="1440"/>
          </w:tcPr>
          <w:p>
            <w:pPr>
              <w:jc w:val="left"/>
            </w:pPr>
            <w:r>
              <w:t>HEALTHY</w:t>
            </w:r>
          </w:p>
        </w:tc>
        <w:tc>
          <w:tcPr>
            <w:tcW w:type="dxa" w:w="4176"/>
          </w:tcPr>
          <w:p>
            <w:pPr>
              <w:jc w:val="left"/>
            </w:pPr>
            <w:r>
              <w:t>Worst case still 97.4% backing</w:t>
            </w:r>
          </w:p>
        </w:tc>
      </w:tr>
      <w:tr>
        <w:tc>
          <w:tcPr>
            <w:tcW w:type="dxa" w:w="2880"/>
          </w:tcPr>
          <w:p>
            <w:pPr>
              <w:jc w:val="left"/>
            </w:pPr>
            <w:r>
              <w:t>p1.0</w:t>
            </w:r>
          </w:p>
        </w:tc>
        <w:tc>
          <w:tcPr>
            <w:tcW w:type="dxa" w:w="2304"/>
          </w:tcPr>
          <w:p>
            <w:pPr>
              <w:jc w:val="left"/>
            </w:pPr>
            <w:r>
              <w:t>97.4%</w:t>
            </w:r>
          </w:p>
        </w:tc>
        <w:tc>
          <w:tcPr>
            <w:tcW w:type="dxa" w:w="1440"/>
          </w:tcPr>
          <w:p>
            <w:pPr>
              <w:jc w:val="left"/>
            </w:pPr>
            <w:r>
              <w:t>HEALTHY</w:t>
            </w:r>
          </w:p>
        </w:tc>
        <w:tc>
          <w:tcPr>
            <w:tcW w:type="dxa" w:w="4176"/>
          </w:tcPr>
          <w:p>
            <w:pPr>
              <w:jc w:val="left"/>
            </w:pPr>
            <w:r>
              <w:t>1% of runs hit 97.4% minimum</w:t>
            </w:r>
          </w:p>
        </w:tc>
      </w:tr>
      <w:tr>
        <w:tc>
          <w:tcPr>
            <w:tcW w:type="dxa" w:w="2880"/>
          </w:tcPr>
          <w:p>
            <w:pPr>
              <w:jc w:val="left"/>
            </w:pPr>
            <w:r>
              <w:t>p5.0</w:t>
            </w:r>
          </w:p>
        </w:tc>
        <w:tc>
          <w:tcPr>
            <w:tcW w:type="dxa" w:w="2304"/>
          </w:tcPr>
          <w:p>
            <w:pPr>
              <w:jc w:val="left"/>
            </w:pPr>
            <w:r>
              <w:t>97.6%</w:t>
            </w:r>
          </w:p>
        </w:tc>
        <w:tc>
          <w:tcPr>
            <w:tcW w:type="dxa" w:w="1440"/>
          </w:tcPr>
          <w:p>
            <w:pPr>
              <w:jc w:val="left"/>
            </w:pPr>
            <w:r>
              <w:t>HEALTHY</w:t>
            </w:r>
          </w:p>
        </w:tc>
        <w:tc>
          <w:tcPr>
            <w:tcW w:type="dxa" w:w="4176"/>
          </w:tcPr>
          <w:p>
            <w:pPr>
              <w:jc w:val="left"/>
            </w:pPr>
            <w:r>
              <w:t>5% of runs at or below 97.6%</w:t>
            </w:r>
          </w:p>
        </w:tc>
      </w:tr>
      <w:tr>
        <w:tc>
          <w:tcPr>
            <w:tcW w:type="dxa" w:w="2880"/>
          </w:tcPr>
          <w:p>
            <w:pPr>
              <w:jc w:val="left"/>
            </w:pPr>
            <w:r>
              <w:t>p10.0</w:t>
            </w:r>
          </w:p>
        </w:tc>
        <w:tc>
          <w:tcPr>
            <w:tcW w:type="dxa" w:w="2304"/>
          </w:tcPr>
          <w:p>
            <w:pPr>
              <w:jc w:val="left"/>
            </w:pPr>
            <w:r>
              <w:t>100.0%</w:t>
            </w:r>
          </w:p>
        </w:tc>
        <w:tc>
          <w:tcPr>
            <w:tcW w:type="dxa" w:w="1440"/>
          </w:tcPr>
          <w:p>
            <w:pPr>
              <w:jc w:val="left"/>
            </w:pPr>
            <w:r>
              <w:t>HEALTHY</w:t>
            </w:r>
          </w:p>
        </w:tc>
        <w:tc>
          <w:tcPr>
            <w:tcW w:type="dxa" w:w="4176"/>
          </w:tcPr>
          <w:p>
            <w:pPr>
              <w:jc w:val="left"/>
            </w:pPr>
            <w:r>
              <w:t>90% of runs never dropped below 100%</w:t>
            </w:r>
          </w:p>
        </w:tc>
      </w:tr>
      <w:tr>
        <w:tc>
          <w:tcPr>
            <w:tcW w:type="dxa" w:w="2880"/>
          </w:tcPr>
          <w:p>
            <w:pPr>
              <w:jc w:val="left"/>
            </w:pPr>
            <w:r>
              <w:t>p50.0 (median)</w:t>
            </w:r>
          </w:p>
        </w:tc>
        <w:tc>
          <w:tcPr>
            <w:tcW w:type="dxa" w:w="2304"/>
          </w:tcPr>
          <w:p>
            <w:pPr>
              <w:jc w:val="left"/>
            </w:pPr>
            <w:r>
              <w:t>100.0%</w:t>
            </w:r>
          </w:p>
        </w:tc>
        <w:tc>
          <w:tcPr>
            <w:tcW w:type="dxa" w:w="1440"/>
          </w:tcPr>
          <w:p>
            <w:pPr>
              <w:jc w:val="left"/>
            </w:pPr>
            <w:r>
              <w:t>HEALTHY</w:t>
            </w:r>
          </w:p>
        </w:tc>
        <w:tc>
          <w:tcPr>
            <w:tcW w:type="dxa" w:w="4176"/>
          </w:tcPr>
          <w:p>
            <w:pPr>
              <w:jc w:val="left"/>
            </w:pPr>
            <w:r>
              <w:t>Median run: backing never below 100%</w:t>
            </w:r>
          </w:p>
        </w:tc>
      </w:tr>
      <w:tr>
        <w:tc>
          <w:tcPr>
            <w:tcW w:type="dxa" w:w="2880"/>
          </w:tcPr>
          <w:p>
            <w:pPr>
              <w:jc w:val="left"/>
            </w:pPr>
            <w:r>
              <w:t>p99.0</w:t>
            </w:r>
          </w:p>
        </w:tc>
        <w:tc>
          <w:tcPr>
            <w:tcW w:type="dxa" w:w="2304"/>
          </w:tcPr>
          <w:p>
            <w:pPr>
              <w:jc w:val="left"/>
            </w:pPr>
            <w:r>
              <w:t>100.0%</w:t>
            </w:r>
          </w:p>
        </w:tc>
        <w:tc>
          <w:tcPr>
            <w:tcW w:type="dxa" w:w="1440"/>
          </w:tcPr>
          <w:p>
            <w:pPr>
              <w:jc w:val="left"/>
            </w:pPr>
            <w:r>
              <w:t>HEALTHY</w:t>
            </w:r>
          </w:p>
        </w:tc>
        <w:tc>
          <w:tcPr>
            <w:tcW w:type="dxa" w:w="4176"/>
          </w:tcPr>
          <w:p>
            <w:pPr>
              <w:jc w:val="left"/>
            </w:pPr>
            <w:r>
              <w:t>99% of runs: backing stayed at 100%</w:t>
            </w:r>
          </w:p>
        </w:tc>
      </w:tr>
    </w:tbl>
    <w:p/>
    <w:p>
      <w:r>
        <w:t>Distribution of minimum backing ratios across 5,000 runs:</w:t>
      </w:r>
    </w:p>
    <w:tbl>
      <w:tblPr>
        <w:tblStyle w:val="TableGrid"/>
        <w:tblW w:type="auto" w:w="0"/>
        <w:tblLook w:firstColumn="1" w:firstRow="1" w:lastColumn="0" w:lastRow="0" w:noHBand="0" w:noVBand="1" w:val="04A0"/>
      </w:tblPr>
      <w:tblGrid>
        <w:gridCol w:w="2880"/>
        <w:gridCol w:w="2880"/>
        <w:gridCol w:w="2880"/>
      </w:tblGrid>
      <w:tr>
        <w:tc>
          <w:tcPr>
            <w:tcW w:type="dxa" w:w="3168"/>
            <w:shd w:fill="DCE6F1" w:color="auto" w:val="clear"/>
          </w:tcPr>
          <w:p>
            <w:pPr>
              <w:jc w:val="center"/>
            </w:pPr>
            <w:r>
              <w:rPr>
                <w:b/>
              </w:rPr>
              <w:t>Backing Ratio Range</w:t>
            </w:r>
          </w:p>
        </w:tc>
        <w:tc>
          <w:tcPr>
            <w:tcW w:type="dxa" w:w="2160"/>
            <w:shd w:fill="DCE6F1" w:color="auto" w:val="clear"/>
          </w:tcPr>
          <w:p>
            <w:pPr>
              <w:jc w:val="center"/>
            </w:pPr>
            <w:r>
              <w:rPr>
                <w:b/>
              </w:rPr>
              <w:t>% of Runs</w:t>
            </w:r>
          </w:p>
        </w:tc>
        <w:tc>
          <w:tcPr>
            <w:tcW w:type="dxa" w:w="4320"/>
            <w:shd w:fill="DCE6F1" w:color="auto" w:val="clear"/>
          </w:tcPr>
          <w:p>
            <w:pPr>
              <w:jc w:val="center"/>
            </w:pPr>
            <w:r>
              <w:rPr>
                <w:b/>
              </w:rPr>
              <w:t>Status</w:t>
            </w:r>
          </w:p>
        </w:tc>
      </w:tr>
      <w:tr>
        <w:tc>
          <w:tcPr>
            <w:tcW w:type="dxa" w:w="3168"/>
          </w:tcPr>
          <w:p>
            <w:pPr>
              <w:jc w:val="left"/>
            </w:pPr>
            <w:r>
              <w:t>90–100%</w:t>
            </w:r>
          </w:p>
        </w:tc>
        <w:tc>
          <w:tcPr>
            <w:tcW w:type="dxa" w:w="2160"/>
          </w:tcPr>
          <w:p>
            <w:pPr>
              <w:jc w:val="left"/>
            </w:pPr>
            <w:r>
              <w:t>5.3%</w:t>
            </w:r>
          </w:p>
        </w:tc>
        <w:tc>
          <w:tcPr>
            <w:tcW w:type="dxa" w:w="4320"/>
          </w:tcPr>
          <w:p>
            <w:pPr>
              <w:jc w:val="left"/>
            </w:pPr>
            <w:r>
              <w:t>HEALTHY — burn fired near end of horizon</w:t>
            </w:r>
          </w:p>
        </w:tc>
      </w:tr>
      <w:tr>
        <w:tc>
          <w:tcPr>
            <w:tcW w:type="dxa" w:w="3168"/>
          </w:tcPr>
          <w:p>
            <w:pPr>
              <w:jc w:val="left"/>
            </w:pPr>
            <w:r>
              <w:t>100–110%</w:t>
            </w:r>
          </w:p>
        </w:tc>
        <w:tc>
          <w:tcPr>
            <w:tcW w:type="dxa" w:w="2160"/>
          </w:tcPr>
          <w:p>
            <w:pPr>
              <w:jc w:val="left"/>
            </w:pPr>
            <w:r>
              <w:t>94.7%</w:t>
            </w:r>
          </w:p>
        </w:tc>
        <w:tc>
          <w:tcPr>
            <w:tcW w:type="dxa" w:w="4320"/>
          </w:tcPr>
          <w:p>
            <w:pPr>
              <w:jc w:val="left"/>
            </w:pPr>
            <w:r>
              <w:t>HEALTHY — no burn fired; structural floor held</w:t>
            </w:r>
          </w:p>
        </w:tc>
      </w:tr>
      <w:tr>
        <w:tc>
          <w:tcPr>
            <w:tcW w:type="dxa" w:w="3168"/>
          </w:tcPr>
          <w:p>
            <w:pPr>
              <w:jc w:val="left"/>
            </w:pPr>
            <w:r>
              <w:t>Below 90%</w:t>
            </w:r>
          </w:p>
        </w:tc>
        <w:tc>
          <w:tcPr>
            <w:tcW w:type="dxa" w:w="2160"/>
          </w:tcPr>
          <w:p>
            <w:pPr>
              <w:jc w:val="left"/>
            </w:pPr>
            <w:r>
              <w:t>0.0%</w:t>
            </w:r>
          </w:p>
        </w:tc>
        <w:tc>
          <w:tcPr>
            <w:tcW w:type="dxa" w:w="4320"/>
          </w:tcPr>
          <w:p>
            <w:pPr>
              <w:jc w:val="left"/>
            </w:pPr>
            <w:r>
              <w:t>Never observed</w:t>
            </w:r>
          </w:p>
        </w:tc>
      </w:tr>
    </w:tbl>
    <w:p/>
    <w:p>
      <w:r>
        <w:rPr>
          <w:b/>
        </w:rPr>
        <w:t xml:space="preserve">Key insight: </w:t>
      </w:r>
      <w:r>
        <w:t>94.7% of runs never executed a burn over the full 20-year horizon. For the 5.3% that did, the burn occurred at month 238–240 (the very end), and minimum backing was 97.4% — still comfortably HEALTHY. The left tail does not reach WARNING under any tested condition.</w:t>
      </w:r>
    </w:p>
    <w:p/>
    <w:p>
      <w:pPr>
        <w:pStyle w:val="Heading1"/>
      </w:pPr>
      <w:r>
        <w:t>7. Credit Expiry Mechanics</w:t>
      </w:r>
    </w:p>
    <w:p>
      <w:r>
        <w:t>Credits carry a velocity of 12× per year — each credit cycles through the network approximately monthly. Programs at this velocity observe annual breakage (inactivity-driven non-redemption) of approximately 5–7%. Research into analogous closed-loop programs:</w:t>
      </w:r>
    </w:p>
    <w:tbl>
      <w:tblPr>
        <w:tblStyle w:val="TableGrid"/>
        <w:tblW w:type="auto" w:w="0"/>
        <w:tblLook w:firstColumn="1" w:firstRow="1" w:lastColumn="0" w:lastRow="0" w:noHBand="0" w:noVBand="1" w:val="04A0"/>
      </w:tblPr>
      <w:tblGrid>
        <w:gridCol w:w="2880"/>
        <w:gridCol w:w="2880"/>
        <w:gridCol w:w="2880"/>
      </w:tblGrid>
      <w:tr>
        <w:tc>
          <w:tcPr>
            <w:tcW w:type="dxa" w:w="3168"/>
            <w:shd w:fill="DCE6F1" w:color="auto" w:val="clear"/>
          </w:tcPr>
          <w:p>
            <w:pPr>
              <w:jc w:val="center"/>
            </w:pPr>
            <w:r>
              <w:rPr>
                <w:b/>
              </w:rPr>
              <w:t>Program Type</w:t>
            </w:r>
          </w:p>
        </w:tc>
        <w:tc>
          <w:tcPr>
            <w:tcW w:type="dxa" w:w="2592"/>
            <w:shd w:fill="DCE6F1" w:color="auto" w:val="clear"/>
          </w:tcPr>
          <w:p>
            <w:pPr>
              <w:jc w:val="center"/>
            </w:pPr>
            <w:r>
              <w:rPr>
                <w:b/>
              </w:rPr>
              <w:t>Typical Window</w:t>
            </w:r>
          </w:p>
        </w:tc>
        <w:tc>
          <w:tcPr>
            <w:tcW w:type="dxa" w:w="3600"/>
            <w:shd w:fill="DCE6F1" w:color="auto" w:val="clear"/>
          </w:tcPr>
          <w:p>
            <w:pPr>
              <w:jc w:val="center"/>
            </w:pPr>
            <w:r>
              <w:rPr>
                <w:b/>
              </w:rPr>
              <w:t>Notes</w:t>
            </w:r>
          </w:p>
        </w:tc>
      </w:tr>
      <w:tr>
        <w:tc>
          <w:tcPr>
            <w:tcW w:type="dxa" w:w="3168"/>
          </w:tcPr>
          <w:p>
            <w:pPr>
              <w:jc w:val="left"/>
            </w:pPr>
            <w:r>
              <w:t>Gift cards (CARD Act)</w:t>
            </w:r>
          </w:p>
        </w:tc>
        <w:tc>
          <w:tcPr>
            <w:tcW w:type="dxa" w:w="2592"/>
          </w:tcPr>
          <w:p>
            <w:pPr>
              <w:jc w:val="left"/>
            </w:pPr>
            <w:r>
              <w:t>5 years minimum</w:t>
            </w:r>
          </w:p>
        </w:tc>
        <w:tc>
          <w:tcPr>
            <w:tcW w:type="dxa" w:w="3600"/>
          </w:tcPr>
          <w:p>
            <w:pPr>
              <w:jc w:val="left"/>
            </w:pPr>
            <w:r>
              <w:t>Statutory floor for consumer protection</w:t>
            </w:r>
          </w:p>
        </w:tc>
      </w:tr>
      <w:tr>
        <w:tc>
          <w:tcPr>
            <w:tcW w:type="dxa" w:w="3168"/>
          </w:tcPr>
          <w:p>
            <w:pPr>
              <w:jc w:val="left"/>
            </w:pPr>
            <w:r>
              <w:t>Closed-loop corporate perks</w:t>
            </w:r>
          </w:p>
        </w:tc>
        <w:tc>
          <w:tcPr>
            <w:tcW w:type="dxa" w:w="2592"/>
          </w:tcPr>
          <w:p>
            <w:pPr>
              <w:jc w:val="left"/>
            </w:pPr>
            <w:r>
              <w:t>24–36 months</w:t>
            </w:r>
          </w:p>
        </w:tc>
        <w:tc>
          <w:tcPr>
            <w:tcW w:type="dxa" w:w="3600"/>
          </w:tcPr>
          <w:p>
            <w:pPr>
              <w:jc w:val="left"/>
            </w:pPr>
            <w:r>
              <w:t>Standard practice; legally defensible</w:t>
            </w:r>
          </w:p>
        </w:tc>
      </w:tr>
      <w:tr>
        <w:tc>
          <w:tcPr>
            <w:tcW w:type="dxa" w:w="3168"/>
          </w:tcPr>
          <w:p>
            <w:pPr>
              <w:jc w:val="left"/>
            </w:pPr>
            <w:r>
              <w:t>Loyalty / rewards points</w:t>
            </w:r>
          </w:p>
        </w:tc>
        <w:tc>
          <w:tcPr>
            <w:tcW w:type="dxa" w:w="2592"/>
          </w:tcPr>
          <w:p>
            <w:pPr>
              <w:jc w:val="left"/>
            </w:pPr>
            <w:r>
              <w:t>12–24 months inactivity</w:t>
            </w:r>
          </w:p>
        </w:tc>
        <w:tc>
          <w:tcPr>
            <w:tcW w:type="dxa" w:w="3600"/>
          </w:tcPr>
          <w:p>
            <w:pPr>
              <w:jc w:val="left"/>
            </w:pPr>
            <w:r>
              <w:t>Forfeiture on inactivity, not calendar</w:t>
            </w:r>
          </w:p>
        </w:tc>
      </w:tr>
      <w:tr>
        <w:tc>
          <w:tcPr>
            <w:tcW w:type="dxa" w:w="3168"/>
          </w:tcPr>
          <w:p>
            <w:pPr>
              <w:jc w:val="left"/>
            </w:pPr>
            <w:r>
              <w:t>Commuter / FSA benefits</w:t>
            </w:r>
          </w:p>
        </w:tc>
        <w:tc>
          <w:tcPr>
            <w:tcW w:type="dxa" w:w="2592"/>
          </w:tcPr>
          <w:p>
            <w:pPr>
              <w:jc w:val="left"/>
            </w:pPr>
            <w:r>
              <w:t>Monthly rolling</w:t>
            </w:r>
          </w:p>
        </w:tc>
        <w:tc>
          <w:tcPr>
            <w:tcW w:type="dxa" w:w="3600"/>
          </w:tcPr>
          <w:p>
            <w:pPr>
              <w:jc w:val="left"/>
            </w:pPr>
            <w:r>
              <w:t>Strict regulatory use-it-or-lose-it</w:t>
            </w:r>
          </w:p>
        </w:tc>
      </w:tr>
      <w:tr>
        <w:tc>
          <w:tcPr>
            <w:tcW w:type="dxa" w:w="3168"/>
          </w:tcPr>
          <w:p>
            <w:pPr>
              <w:jc w:val="left"/>
            </w:pPr>
            <w:r>
              <w:t>ADBP (recommended)</w:t>
            </w:r>
          </w:p>
        </w:tc>
        <w:tc>
          <w:tcPr>
            <w:tcW w:type="dxa" w:w="2592"/>
          </w:tcPr>
          <w:p>
            <w:pPr>
              <w:jc w:val="left"/>
            </w:pPr>
            <w:r>
              <w:t>36 months</w:t>
            </w:r>
          </w:p>
        </w:tc>
        <w:tc>
          <w:tcPr>
            <w:tcW w:type="dxa" w:w="3600"/>
          </w:tcPr>
          <w:p>
            <w:pPr>
              <w:jc w:val="left"/>
            </w:pPr>
            <w:r>
              <w:t>Generous, consumer-friendly</w:t>
            </w:r>
          </w:p>
        </w:tc>
      </w:tr>
    </w:tbl>
    <w:p/>
    <w:p>
      <w:r>
        <w:rPr>
          <w:b/>
        </w:rPr>
        <w:t xml:space="preserve">Expiry economics: </w:t>
      </w:r>
      <w:r>
        <w:t>Credits that expire cost $0 to the treasury (the $1.00 inflow was already collected; the $2.00 obligation simply terminates). This makes expiry strictly more treasury-efficient than burns ($0/credit vs $2/credit).</w:t>
      </w:r>
    </w:p>
    <w:p>
      <w:r>
        <w:t>Key simulation results from expiry analysis:</w:t>
      </w:r>
    </w:p>
    <w:tbl>
      <w:tblPr>
        <w:tblStyle w:val="TableGrid"/>
        <w:tblW w:type="auto" w:w="0"/>
        <w:tblLook w:firstColumn="1" w:firstRow="1" w:lastColumn="0" w:lastRow="0" w:noHBand="0" w:noVBand="1" w:val="04A0"/>
      </w:tblPr>
      <w:tblGrid>
        <w:gridCol w:w="2160"/>
        <w:gridCol w:w="2160"/>
        <w:gridCol w:w="2160"/>
        <w:gridCol w:w="2160"/>
      </w:tblGrid>
      <w:tr>
        <w:tc>
          <w:tcPr>
            <w:tcW w:type="dxa" w:w="4032"/>
            <w:shd w:fill="DCE6F1" w:color="auto" w:val="clear"/>
          </w:tcPr>
          <w:p>
            <w:pPr>
              <w:jc w:val="center"/>
            </w:pPr>
            <w:r>
              <w:rPr>
                <w:b/>
              </w:rPr>
              <w:t>Scenario</w:t>
            </w:r>
          </w:p>
        </w:tc>
        <w:tc>
          <w:tcPr>
            <w:tcW w:type="dxa" w:w="1008"/>
            <w:shd w:fill="DCE6F1" w:color="auto" w:val="clear"/>
          </w:tcPr>
          <w:p>
            <w:pPr>
              <w:jc w:val="center"/>
            </w:pPr>
            <w:r>
              <w:rPr>
                <w:b/>
              </w:rPr>
              <w:t>Burns</w:t>
            </w:r>
          </w:p>
        </w:tc>
        <w:tc>
          <w:tcPr>
            <w:tcW w:type="dxa" w:w="2160"/>
            <w:shd w:fill="DCE6F1" w:color="auto" w:val="clear"/>
          </w:tcPr>
          <w:p>
            <w:pPr>
              <w:jc w:val="center"/>
            </w:pPr>
            <w:r>
              <w:rPr>
                <w:b/>
              </w:rPr>
              <w:t>Credits Destroyed</w:t>
            </w:r>
          </w:p>
        </w:tc>
        <w:tc>
          <w:tcPr>
            <w:tcW w:type="dxa" w:w="2160"/>
            <w:shd w:fill="DCE6F1" w:color="auto" w:val="clear"/>
          </w:tcPr>
          <w:p>
            <w:pPr>
              <w:jc w:val="center"/>
            </w:pPr>
            <w:r>
              <w:rPr>
                <w:b/>
              </w:rPr>
              <w:t>Final Backing</w:t>
            </w:r>
          </w:p>
        </w:tc>
      </w:tr>
      <w:tr>
        <w:tc>
          <w:tcPr>
            <w:tcW w:type="dxa" w:w="4032"/>
          </w:tcPr>
          <w:p>
            <w:pPr>
              <w:jc w:val="left"/>
            </w:pPr>
            <w:r>
              <w:t>Baseline (burns only)</w:t>
            </w:r>
          </w:p>
        </w:tc>
        <w:tc>
          <w:tcPr>
            <w:tcW w:type="dxa" w:w="1008"/>
          </w:tcPr>
          <w:p>
            <w:pPr>
              <w:jc w:val="left"/>
            </w:pPr>
            <w:r>
              <w:t>1</w:t>
            </w:r>
          </w:p>
        </w:tc>
        <w:tc>
          <w:tcPr>
            <w:tcW w:type="dxa" w:w="2160"/>
          </w:tcPr>
          <w:p>
            <w:pPr>
              <w:jc w:val="left"/>
            </w:pPr>
            <w:r>
              <w:t>30.2%</w:t>
            </w:r>
          </w:p>
        </w:tc>
        <w:tc>
          <w:tcPr>
            <w:tcW w:type="dxa" w:w="2160"/>
          </w:tcPr>
          <w:p>
            <w:pPr>
              <w:jc w:val="left"/>
            </w:pPr>
            <w:r>
              <w:t>77.7% HEALTHY</w:t>
            </w:r>
          </w:p>
        </w:tc>
      </w:tr>
      <w:tr>
        <w:tc>
          <w:tcPr>
            <w:tcW w:type="dxa" w:w="4032"/>
          </w:tcPr>
          <w:p>
            <w:pPr>
              <w:jc w:val="left"/>
            </w:pPr>
            <w:r>
              <w:t>36mo expiry + 6% breakage + burns</w:t>
            </w:r>
          </w:p>
        </w:tc>
        <w:tc>
          <w:tcPr>
            <w:tcW w:type="dxa" w:w="1008"/>
          </w:tcPr>
          <w:p>
            <w:pPr>
              <w:jc w:val="left"/>
            </w:pPr>
            <w:r>
              <w:t>5</w:t>
            </w:r>
          </w:p>
        </w:tc>
        <w:tc>
          <w:tcPr>
            <w:tcW w:type="dxa" w:w="2160"/>
          </w:tcPr>
          <w:p>
            <w:pPr>
              <w:jc w:val="left"/>
            </w:pPr>
            <w:r>
              <w:t>66.4%</w:t>
            </w:r>
          </w:p>
        </w:tc>
        <w:tc>
          <w:tcPr>
            <w:tcW w:type="dxa" w:w="2160"/>
          </w:tcPr>
          <w:p>
            <w:pPr>
              <w:jc w:val="left"/>
            </w:pPr>
            <w:r>
              <w:t>99.1% HEALTHY</w:t>
            </w:r>
          </w:p>
        </w:tc>
      </w:tr>
      <w:tr>
        <w:tc>
          <w:tcPr>
            <w:tcW w:type="dxa" w:w="4032"/>
          </w:tcPr>
          <w:p>
            <w:pPr>
              <w:jc w:val="left"/>
            </w:pPr>
            <w:r>
              <w:t>No-burn + 24mo + 10% breakage</w:t>
            </w:r>
          </w:p>
        </w:tc>
        <w:tc>
          <w:tcPr>
            <w:tcW w:type="dxa" w:w="1008"/>
          </w:tcPr>
          <w:p>
            <w:pPr>
              <w:jc w:val="left"/>
            </w:pPr>
            <w:r>
              <w:t>0</w:t>
            </w:r>
          </w:p>
        </w:tc>
        <w:tc>
          <w:tcPr>
            <w:tcW w:type="dxa" w:w="2160"/>
          </w:tcPr>
          <w:p>
            <w:pPr>
              <w:jc w:val="left"/>
            </w:pPr>
            <w:r>
              <w:t>67.5%</w:t>
            </w:r>
          </w:p>
        </w:tc>
        <w:tc>
          <w:tcPr>
            <w:tcW w:type="dxa" w:w="2160"/>
          </w:tcPr>
          <w:p>
            <w:pPr>
              <w:jc w:val="left"/>
            </w:pPr>
            <w:r>
              <w:t>352.9% (over-collateralized)</w:t>
            </w:r>
          </w:p>
        </w:tc>
      </w:tr>
      <w:tr>
        <w:tc>
          <w:tcPr>
            <w:tcW w:type="dxa" w:w="4032"/>
          </w:tcPr>
          <w:p>
            <w:pPr>
              <w:jc w:val="left"/>
            </w:pPr>
            <w:r>
              <w:t>No-burn + 36mo + 6% breakage</w:t>
            </w:r>
          </w:p>
        </w:tc>
        <w:tc>
          <w:tcPr>
            <w:tcW w:type="dxa" w:w="1008"/>
          </w:tcPr>
          <w:p>
            <w:pPr>
              <w:jc w:val="left"/>
            </w:pPr>
            <w:r>
              <w:t>0</w:t>
            </w:r>
          </w:p>
        </w:tc>
        <w:tc>
          <w:tcPr>
            <w:tcW w:type="dxa" w:w="2160"/>
          </w:tcPr>
          <w:p>
            <w:pPr>
              <w:jc w:val="left"/>
            </w:pPr>
            <w:r>
              <w:t>37.1%</w:t>
            </w:r>
          </w:p>
        </w:tc>
        <w:tc>
          <w:tcPr>
            <w:tcW w:type="dxa" w:w="2160"/>
          </w:tcPr>
          <w:p>
            <w:pPr>
              <w:jc w:val="left"/>
            </w:pPr>
            <w:r>
              <w:t>498.2% (over-collateralized)</w:t>
            </w:r>
          </w:p>
        </w:tc>
      </w:tr>
    </w:tbl>
    <w:p/>
    <w:p>
      <w:r>
        <w:rPr>
          <w:i/>
        </w:rPr>
        <w:t>Note: Expiry alone produces extreme over-collateralization. It is not a substitute for burns — expiry accelerates backing ratio growth, which then requires burns to rebalance.</w:t>
      </w:r>
    </w:p>
    <w:p/>
    <w:p>
      <w:pPr>
        <w:pStyle w:val="Heading1"/>
      </w:pPr>
      <w:r>
        <w:t>8. CPE Invariance</w:t>
      </w:r>
    </w:p>
    <w:p>
      <w:r>
        <w:rPr>
          <w:b/>
        </w:rPr>
        <w:t xml:space="preserve">Finding: </w:t>
      </w:r>
      <w:r>
        <w:t>Credits-per-employee (CPE) does not affect the backing ratio.</w:t>
      </w:r>
    </w:p>
    <w:p>
      <w:r>
        <w:t>Both treasury_wallet and total_credits scale linearly with CPE, so the ratio is CPE-invariant. A program where each employee buys 10 credits/month and one where each buys 5,000 credits/month produce identical backing ratios under identical burn strategies. Program scale (number of employees) also cancels out of the ratio for the same reason.</w:t>
      </w:r>
    </w:p>
    <w:p/>
    <w:p>
      <w:pPr>
        <w:pStyle w:val="Heading1"/>
      </w:pPr>
      <w:r>
        <w:t>9. Post-Burn Adversity</w:t>
      </w:r>
    </w:p>
    <w:p>
      <w:r>
        <w:rPr>
          <w:b/>
        </w:rPr>
        <w:t xml:space="preserve">Finding: </w:t>
      </w:r>
      <w:r>
        <w:t>The burn event itself is always the minimum backing point. No subsequent adverse condition can reduce backing further.</w:t>
      </w:r>
    </w:p>
    <w:p>
      <w:r>
        <w:t>After a burn, the structural solvency guarantee resets: each new credit minted adds $1.00 to both wallet and credits outstanding, keeping the ratio at 100%. Post-burn conditions (zero interest, negative growth, vendor loss) cannot push backing lower than the post-burn level.</w:t>
      </w:r>
    </w:p>
    <w:p/>
    <w:p>
      <w:pPr>
        <w:pStyle w:val="Heading1"/>
      </w:pPr>
      <w:r>
        <w:t>10. Recommended Parameters</w:t>
      </w:r>
    </w:p>
    <w:p>
      <w:r>
        <w:t>Based on 300,000-run MC campaign + 8 advanced simulation families over 240 months:</w:t>
      </w:r>
    </w:p>
    <w:p>
      <w:pPr>
        <w:pStyle w:val="ListBullet"/>
      </w:pPr>
      <w:r>
        <w:t>Trigger ratio: backing ≥ 133.2% (never set below 120% — cliff below this threshold)</w:t>
      </w:r>
    </w:p>
    <w:p>
      <w:pPr>
        <w:pStyle w:val="ListBullet"/>
      </w:pPr>
      <w:r>
        <w:t>Burn size: 34.9% of outstanding credits per event</w:t>
      </w:r>
    </w:p>
    <w:p>
      <w:pPr>
        <w:pStyle w:val="ListBullet"/>
      </w:pPr>
      <w:r>
        <w:t>Cooldown: 18 months minimum between burns (calendar or threshold-triggered — equivalent)</w:t>
      </w:r>
    </w:p>
    <w:p>
      <w:pPr>
        <w:pStyle w:val="ListBullet"/>
      </w:pPr>
      <w:r>
        <w:t>First eligible: Month 20 (ramp-up protection)</w:t>
      </w:r>
    </w:p>
    <w:p>
      <w:pPr>
        <w:pStyle w:val="ListBullet"/>
      </w:pPr>
      <w:r>
        <w:t>Credit expiry window: 36 months</w:t>
      </w:r>
    </w:p>
    <w:p>
      <w:pPr>
        <w:pStyle w:val="ListBullet"/>
      </w:pPr>
      <w:r>
        <w:t>Annual breakage target: 5–7%</w:t>
      </w:r>
    </w:p>
    <w:p>
      <w:pPr>
        <w:pStyle w:val="ListBullet"/>
      </w:pPr>
      <w:r>
        <w:t>Monitor: interest rate environment — trigger may need adjustment if rates fall below 3% APR</w:t>
      </w:r>
    </w:p>
    <w:p/>
    <w:p>
      <w:r>
        <w:rPr>
          <w:b/>
          <w:color w:val="1F3864"/>
        </w:rPr>
        <w:t xml:space="preserve">Single most important control: </w:t>
      </w:r>
      <w:r>
        <w:t>Keep the burn trigger at or above 1.2×. This is the only parameter that can cause WARNING states. All other parameters are secondary optimization choices.</w:t>
      </w:r>
    </w:p>
    <w:p>
      <w:pPr>
        <w:pStyle w:val="Heading1"/>
      </w:pPr>
      <w:r>
        <w:t>11. Operational Risk Simulations</w:t>
      </w:r>
    </w:p>
    <w:p>
      <w:r>
        <w:t>Five additional simulation families were run to cover risks not addressed by the primary Monte Carlo or advanced simulation suites. These focus on real-world operational conditions: vendor adoption lag, interest rate environment changes, treasury liquidity constraints, two-sided network ramp dynamics, and vendor attrition. All ran at 5,000 runs x 240 months using the MC-optimal strategy (trigger=1.332x, burn=34.9%, cooldown=18mo, first eligible month 20).</w:t>
      </w:r>
    </w:p>
    <w:p>
      <w:pPr>
        <w:pStyle w:val="Heading2"/>
      </w:pPr>
      <w:r>
        <w:t>11.1  Recirculation Capacity Constraint</w:t>
      </w:r>
    </w:p>
    <w:p>
      <w:r>
        <w:t>The 2:1 rule requires vendors to recirculate 2 credits before 1 credit can be minted. If vendor adoption lags employee growth, minting is throttled. This simulation tests what happens when recirculation capacity grows slower than employee demand.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3168"/>
            <w:shd w:fill="DCE6F1" w:color="auto" w:val="clear"/>
          </w:tcPr>
          <w:p>
            <w:pPr>
              <w:jc w:val="center"/>
            </w:pPr>
            <w:r>
              <w:rPr>
                <w:b/>
              </w:rPr>
              <w:t>Scenario</w:t>
            </w:r>
          </w:p>
        </w:tc>
        <w:tc>
          <w:tcPr>
            <w:tcW w:type="dxa" w:w="1296"/>
            <w:shd w:fill="DCE6F1" w:color="auto" w:val="clear"/>
          </w:tcPr>
          <w:p>
            <w:pPr>
              <w:jc w:val="center"/>
            </w:pPr>
            <w:r>
              <w:rPr>
                <w:b/>
              </w:rPr>
              <w:t>HEALTHY</w:t>
            </w:r>
          </w:p>
        </w:tc>
        <w:tc>
          <w:tcPr>
            <w:tcW w:type="dxa" w:w="1296"/>
            <w:shd w:fill="DCE6F1" w:color="auto" w:val="clear"/>
          </w:tcPr>
          <w:p>
            <w:pPr>
              <w:jc w:val="center"/>
            </w:pPr>
            <w:r>
              <w:rPr>
                <w:b/>
              </w:rPr>
              <w:t>WARNING</w:t>
            </w:r>
          </w:p>
        </w:tc>
        <w:tc>
          <w:tcPr>
            <w:tcW w:type="dxa" w:w="1296"/>
            <w:shd w:fill="DCE6F1" w:color="auto" w:val="clear"/>
          </w:tcPr>
          <w:p>
            <w:pPr>
              <w:jc w:val="center"/>
            </w:pPr>
            <w:r>
              <w:rPr>
                <w:b/>
              </w:rPr>
              <w:t>FAILURE</w:t>
            </w:r>
          </w:p>
        </w:tc>
        <w:tc>
          <w:tcPr>
            <w:tcW w:type="dxa" w:w="1440"/>
            <w:shd w:fill="DCE6F1" w:color="auto" w:val="clear"/>
          </w:tcPr>
          <w:p>
            <w:pPr>
              <w:jc w:val="center"/>
            </w:pPr>
            <w:r>
              <w:rPr>
                <w:b/>
              </w:rPr>
              <w:t>Min Backing</w:t>
            </w:r>
          </w:p>
        </w:tc>
        <w:tc>
          <w:tcPr>
            <w:tcW w:type="dxa" w:w="1440"/>
            <w:shd w:fill="DCE6F1" w:color="auto" w:val="clear"/>
          </w:tcPr>
          <w:p>
            <w:pPr>
              <w:jc w:val="center"/>
            </w:pPr>
            <w:r>
              <w:rPr>
                <w:b/>
              </w:rPr>
              <w:t>Cap Fraction</w:t>
            </w:r>
          </w:p>
        </w:tc>
      </w:tr>
      <w:tr>
        <w:tc>
          <w:tcPr>
            <w:tcW w:type="dxa" w:w="3168"/>
          </w:tcPr>
          <w:p>
            <w:pPr>
              <w:jc w:val="left"/>
            </w:pPr>
            <w:r>
              <w:t>Unconstrained (baseline)</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99.9%</w:t>
            </w:r>
          </w:p>
        </w:tc>
        <w:tc>
          <w:tcPr>
            <w:tcW w:type="dxa" w:w="1440"/>
          </w:tcPr>
          <w:p>
            <w:pPr>
              <w:jc w:val="left"/>
            </w:pPr>
            <w:r>
              <w:t>0.0%</w:t>
            </w:r>
          </w:p>
        </w:tc>
      </w:tr>
      <w:tr>
        <w:tc>
          <w:tcPr>
            <w:tcW w:type="dxa" w:w="3168"/>
          </w:tcPr>
          <w:p>
            <w:pPr>
              <w:jc w:val="left"/>
            </w:pPr>
            <w:r>
              <w:t>Matched (0mo lag)</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1.5%</w:t>
            </w:r>
          </w:p>
        </w:tc>
      </w:tr>
      <w:tr>
        <w:tc>
          <w:tcPr>
            <w:tcW w:type="dxa" w:w="3168"/>
          </w:tcPr>
          <w:p>
            <w:pPr>
              <w:jc w:val="left"/>
            </w:pPr>
            <w:r>
              <w:t>Lag 3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3.0%</w:t>
            </w:r>
          </w:p>
        </w:tc>
      </w:tr>
      <w:tr>
        <w:tc>
          <w:tcPr>
            <w:tcW w:type="dxa" w:w="3168"/>
          </w:tcPr>
          <w:p>
            <w:pPr>
              <w:jc w:val="left"/>
            </w:pPr>
            <w:r>
              <w:t>Lag 6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5.1%</w:t>
            </w:r>
          </w:p>
        </w:tc>
      </w:tr>
      <w:tr>
        <w:tc>
          <w:tcPr>
            <w:tcW w:type="dxa" w:w="3168"/>
          </w:tcPr>
          <w:p>
            <w:pPr>
              <w:jc w:val="left"/>
            </w:pPr>
            <w:r>
              <w:t>Lag 12 months</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100.0%</w:t>
            </w:r>
          </w:p>
        </w:tc>
        <w:tc>
          <w:tcPr>
            <w:tcW w:type="dxa" w:w="1440"/>
          </w:tcPr>
          <w:p>
            <w:pPr>
              <w:jc w:val="left"/>
            </w:pPr>
            <w:r>
              <w:t>9.7%</w:t>
            </w:r>
          </w:p>
        </w:tc>
      </w:tr>
      <w:tr>
        <w:tc>
          <w:tcPr>
            <w:tcW w:type="dxa" w:w="3168"/>
          </w:tcPr>
          <w:p>
            <w:pPr>
              <w:jc w:val="left"/>
            </w:pPr>
            <w:r>
              <w:t>Half-speed vendor growth</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99.6%</w:t>
            </w:r>
          </w:p>
        </w:tc>
        <w:tc>
          <w:tcPr>
            <w:tcW w:type="dxa" w:w="1440"/>
          </w:tcPr>
          <w:p>
            <w:pPr>
              <w:jc w:val="left"/>
            </w:pPr>
            <w:r>
              <w:t>49.6%</w:t>
            </w:r>
          </w:p>
        </w:tc>
      </w:tr>
      <w:tr>
        <w:tc>
          <w:tcPr>
            <w:tcW w:type="dxa" w:w="3168"/>
          </w:tcPr>
          <w:p>
            <w:pPr>
              <w:jc w:val="left"/>
            </w:pPr>
            <w:r>
              <w:t>Quarter-speed vendor growth</w:t>
            </w:r>
          </w:p>
        </w:tc>
        <w:tc>
          <w:tcPr>
            <w:tcW w:type="dxa" w:w="1296"/>
          </w:tcPr>
          <w:p>
            <w:pPr>
              <w:jc w:val="left"/>
            </w:pPr>
            <w:r>
              <w:t>100.00%</w:t>
            </w:r>
          </w:p>
        </w:tc>
        <w:tc>
          <w:tcPr>
            <w:tcW w:type="dxa" w:w="1296"/>
          </w:tcPr>
          <w:p>
            <w:pPr>
              <w:jc w:val="left"/>
            </w:pPr>
            <w:r>
              <w:t>0.00%</w:t>
            </w:r>
          </w:p>
        </w:tc>
        <w:tc>
          <w:tcPr>
            <w:tcW w:type="dxa" w:w="1296"/>
          </w:tcPr>
          <w:p>
            <w:pPr>
              <w:jc w:val="left"/>
            </w:pPr>
            <w:r>
              <w:t>0.00%</w:t>
            </w:r>
          </w:p>
        </w:tc>
        <w:tc>
          <w:tcPr>
            <w:tcW w:type="dxa" w:w="1440"/>
          </w:tcPr>
          <w:p>
            <w:pPr>
              <w:jc w:val="left"/>
            </w:pPr>
            <w:r>
              <w:t>98.5%</w:t>
            </w:r>
          </w:p>
        </w:tc>
        <w:tc>
          <w:tcPr>
            <w:tcW w:type="dxa" w:w="1440"/>
          </w:tcPr>
          <w:p>
            <w:pPr>
              <w:jc w:val="left"/>
            </w:pPr>
            <w:r>
              <w:t>74.4%</w:t>
            </w:r>
          </w:p>
        </w:tc>
      </w:tr>
    </w:tbl>
    <w:p/>
    <w:p>
      <w:r>
        <w:rPr>
          <w:b/>
          <w:color w:val="2E74B5"/>
        </w:rPr>
        <w:t xml:space="preserve">Key Insight: </w:t>
      </w:r>
      <w:r>
        <w:t>Vendor recirculation lag is a demand throttle, not a solvency risk. When the cap binds, fewer credits are minted, which means fewer outstanding obligations. Backing ratio improves or stays flat. The 2:1 rule is a structural safeguard — the system can only grow as fast as vendors can absorb.</w:t>
      </w:r>
    </w:p>
    <w:p>
      <w:pPr>
        <w:pStyle w:val="Heading2"/>
      </w:pPr>
      <w:r>
        <w:t>11.2  Mid-Simulation Interest Rate Change</w:t>
      </w:r>
    </w:p>
    <w:p>
      <w:r>
        <w:t>Tests what happens when the interest rate environment shifts mid-program. The base model assumes 4% APR for the full 240 months. Rate drops delay or eliminate the burn trigger, since the trigger depends on interest accumulation increasing the backing ratio.</w:t>
      </w:r>
    </w:p>
    <w:tbl>
      <w:tblPr>
        <w:tblStyle w:val="TableGrid"/>
        <w:tblW w:type="auto" w:w="0"/>
        <w:tblLook w:firstColumn="1" w:firstRow="1" w:lastColumn="0" w:lastRow="0" w:noHBand="0" w:noVBand="1" w:val="04A0"/>
      </w:tblPr>
      <w:tblGrid>
        <w:gridCol w:w="2160"/>
        <w:gridCol w:w="2160"/>
        <w:gridCol w:w="2160"/>
        <w:gridCol w:w="2160"/>
      </w:tblGrid>
      <w:tr>
        <w:tc>
          <w:tcPr>
            <w:tcW w:type="dxa" w:w="3744"/>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c>
          <w:tcPr>
            <w:tcW w:type="dxa" w:w="1872"/>
            <w:shd w:fill="DCE6F1" w:color="auto" w:val="clear"/>
          </w:tcPr>
          <w:p>
            <w:pPr>
              <w:jc w:val="center"/>
            </w:pPr>
            <w:r>
              <w:rPr>
                <w:b/>
              </w:rPr>
              <w:t>Burn Events (det.)</w:t>
            </w:r>
          </w:p>
        </w:tc>
      </w:tr>
      <w:tr>
        <w:tc>
          <w:tcPr>
            <w:tcW w:type="dxa" w:w="3744"/>
          </w:tcPr>
          <w:p>
            <w:pPr>
              <w:jc w:val="left"/>
            </w:pPr>
            <w:r>
              <w:t>4% full term (baseline)</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0%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2%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60</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4% → 1% at month 120</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2% → 4% at month 36</w:t>
            </w:r>
          </w:p>
        </w:tc>
        <w:tc>
          <w:tcPr>
            <w:tcW w:type="dxa" w:w="1440"/>
          </w:tcPr>
          <w:p>
            <w:pPr>
              <w:jc w:val="left"/>
            </w:pPr>
            <w:r>
              <w:t>100.00%</w:t>
            </w:r>
          </w:p>
        </w:tc>
        <w:tc>
          <w:tcPr>
            <w:tcW w:type="dxa" w:w="1584"/>
          </w:tcPr>
          <w:p>
            <w:pPr>
              <w:jc w:val="left"/>
            </w:pPr>
            <w:r>
              <w:t>100.0%</w:t>
            </w:r>
          </w:p>
        </w:tc>
        <w:tc>
          <w:tcPr>
            <w:tcW w:type="dxa" w:w="1872"/>
          </w:tcPr>
          <w:p>
            <w:pPr>
              <w:jc w:val="left"/>
            </w:pPr>
            <w:r>
              <w:t>13</w:t>
            </w:r>
          </w:p>
        </w:tc>
      </w:tr>
      <w:tr>
        <w:tc>
          <w:tcPr>
            <w:tcW w:type="dxa" w:w="3744"/>
          </w:tcPr>
          <w:p>
            <w:pPr>
              <w:jc w:val="left"/>
            </w:pPr>
            <w:r>
              <w:t>0% full term</w:t>
            </w:r>
          </w:p>
        </w:tc>
        <w:tc>
          <w:tcPr>
            <w:tcW w:type="dxa" w:w="1440"/>
          </w:tcPr>
          <w:p>
            <w:pPr>
              <w:jc w:val="left"/>
            </w:pPr>
            <w:r>
              <w:t>100.00%</w:t>
            </w:r>
          </w:p>
        </w:tc>
        <w:tc>
          <w:tcPr>
            <w:tcW w:type="dxa" w:w="1584"/>
          </w:tcPr>
          <w:p>
            <w:pPr>
              <w:jc w:val="left"/>
            </w:pPr>
            <w:r>
              <w:t>100.0%</w:t>
            </w:r>
          </w:p>
        </w:tc>
        <w:tc>
          <w:tcPr>
            <w:tcW w:type="dxa" w:w="1872"/>
          </w:tcPr>
          <w:p>
            <w:pPr>
              <w:jc w:val="left"/>
            </w:pPr>
            <w:r>
              <w:t>0</w:t>
            </w:r>
          </w:p>
        </w:tc>
      </w:tr>
    </w:tbl>
    <w:p/>
    <w:p>
      <w:r>
        <w:rPr>
          <w:b/>
          <w:color w:val="2E74B5"/>
        </w:rPr>
        <w:t xml:space="preserve">Key Insight: </w:t>
      </w:r>
      <w:r>
        <w:t>Rate environment determines WHEN burns happen, not IF the treasury remains solvent. At 0% APR, the 1.332× trigger never fires — the treasury holds exactly $1/credit indefinitely (structural identity holds, no credit destruction occurs). Solvency is guaranteed regardless of the rate environment.</w:t>
      </w:r>
    </w:p>
    <w:p>
      <w:pPr>
        <w:pStyle w:val="Heading2"/>
      </w:pPr>
      <w:r>
        <w:t>11.3  Liquidity Constraint on Burns</w:t>
      </w:r>
    </w:p>
    <w:p>
      <w:r>
        <w:t>The treasury may not be fully liquid at any moment — some capital may be in term deposits or other instruments. This tests what happens when only a fraction of the wallet is immediately available for burn execution.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fill="DCE6F1" w:color="auto" w:val="clear"/>
          </w:tcPr>
          <w:p>
            <w:pPr>
              <w:jc w:val="center"/>
            </w:pPr>
            <w:r>
              <w:rPr>
                <w:b/>
              </w:rPr>
              <w:t>Liquid Fraction</w:t>
            </w:r>
          </w:p>
        </w:tc>
        <w:tc>
          <w:tcPr>
            <w:tcW w:type="dxa" w:w="1296"/>
            <w:shd w:fill="DCE6F1" w:color="auto" w:val="clear"/>
          </w:tcPr>
          <w:p>
            <w:pPr>
              <w:jc w:val="center"/>
            </w:pPr>
            <w:r>
              <w:rPr>
                <w:b/>
              </w:rPr>
              <w:t>HEALTHY</w:t>
            </w:r>
          </w:p>
        </w:tc>
        <w:tc>
          <w:tcPr>
            <w:tcW w:type="dxa" w:w="1584"/>
            <w:shd w:fill="DCE6F1" w:color="auto" w:val="clear"/>
          </w:tcPr>
          <w:p>
            <w:pPr>
              <w:jc w:val="center"/>
            </w:pPr>
            <w:r>
              <w:rPr>
                <w:b/>
              </w:rPr>
              <w:t>Min Backing</w:t>
            </w:r>
          </w:p>
        </w:tc>
        <w:tc>
          <w:tcPr>
            <w:tcW w:type="dxa" w:w="2304"/>
            <w:shd w:fill="DCE6F1" w:color="auto" w:val="clear"/>
          </w:tcPr>
          <w:p>
            <w:pPr>
              <w:jc w:val="center"/>
            </w:pPr>
            <w:r>
              <w:rPr>
                <w:b/>
              </w:rPr>
              <w:t>Avg Burn Fraction</w:t>
            </w:r>
          </w:p>
        </w:tc>
        <w:tc>
          <w:tcPr>
            <w:tcW w:type="dxa" w:w="2016"/>
            <w:shd w:fill="DCE6F1" w:color="auto" w:val="clear"/>
          </w:tcPr>
          <w:p>
            <w:pPr>
              <w:jc w:val="center"/>
            </w:pPr>
            <w:r>
              <w:rPr>
                <w:b/>
              </w:rPr>
              <w:t>Burn Events (det.)</w:t>
            </w:r>
          </w:p>
        </w:tc>
      </w:tr>
      <w:tr>
        <w:tc>
          <w:tcPr>
            <w:tcW w:type="dxa" w:w="2880"/>
          </w:tcPr>
          <w:p>
            <w:pPr>
              <w:jc w:val="left"/>
            </w:pPr>
            <w:r>
              <w:t>100% liquid (baseline)</w:t>
            </w:r>
          </w:p>
        </w:tc>
        <w:tc>
          <w:tcPr>
            <w:tcW w:type="dxa" w:w="1296"/>
          </w:tcPr>
          <w:p>
            <w:pPr>
              <w:jc w:val="left"/>
            </w:pPr>
            <w:r>
              <w:t>100.00%</w:t>
            </w:r>
          </w:p>
        </w:tc>
        <w:tc>
          <w:tcPr>
            <w:tcW w:type="dxa" w:w="1584"/>
          </w:tcPr>
          <w:p>
            <w:pPr>
              <w:jc w:val="left"/>
            </w:pPr>
            <w:r>
              <w:t>99.9%</w:t>
            </w:r>
          </w:p>
        </w:tc>
        <w:tc>
          <w:tcPr>
            <w:tcW w:type="dxa" w:w="2304"/>
          </w:tcPr>
          <w:p>
            <w:pPr>
              <w:jc w:val="left"/>
            </w:pPr>
            <w:r>
              <w:t>1.8%</w:t>
            </w:r>
          </w:p>
        </w:tc>
        <w:tc>
          <w:tcPr>
            <w:tcW w:type="dxa" w:w="2016"/>
          </w:tcPr>
          <w:p>
            <w:pPr>
              <w:jc w:val="left"/>
            </w:pPr>
            <w:r>
              <w:t>0</w:t>
            </w:r>
          </w:p>
        </w:tc>
      </w:tr>
      <w:tr>
        <w:tc>
          <w:tcPr>
            <w:tcW w:type="dxa" w:w="2880"/>
          </w:tcPr>
          <w:p>
            <w:pPr>
              <w:jc w:val="left"/>
            </w:pPr>
            <w:r>
              <w:t>90% liquid</w:t>
            </w:r>
          </w:p>
        </w:tc>
        <w:tc>
          <w:tcPr>
            <w:tcW w:type="dxa" w:w="1296"/>
          </w:tcPr>
          <w:p>
            <w:pPr>
              <w:jc w:val="left"/>
            </w:pPr>
            <w:r>
              <w:t>100.00%</w:t>
            </w:r>
          </w:p>
        </w:tc>
        <w:tc>
          <w:tcPr>
            <w:tcW w:type="dxa" w:w="1584"/>
          </w:tcPr>
          <w:p>
            <w:pPr>
              <w:jc w:val="left"/>
            </w:pPr>
            <w:r>
              <w:t>99.9%</w:t>
            </w:r>
          </w:p>
        </w:tc>
        <w:tc>
          <w:tcPr>
            <w:tcW w:type="dxa" w:w="2304"/>
          </w:tcPr>
          <w:p>
            <w:pPr>
              <w:jc w:val="left"/>
            </w:pPr>
            <w:r>
              <w:t>1.8%</w:t>
            </w:r>
          </w:p>
        </w:tc>
        <w:tc>
          <w:tcPr>
            <w:tcW w:type="dxa" w:w="2016"/>
          </w:tcPr>
          <w:p>
            <w:pPr>
              <w:jc w:val="left"/>
            </w:pPr>
            <w:r>
              <w:t>0</w:t>
            </w:r>
          </w:p>
        </w:tc>
      </w:tr>
      <w:tr>
        <w:tc>
          <w:tcPr>
            <w:tcW w:type="dxa" w:w="2880"/>
          </w:tcPr>
          <w:p>
            <w:pPr>
              <w:jc w:val="left"/>
            </w:pPr>
            <w:r>
              <w:t>75% liquid</w:t>
            </w:r>
          </w:p>
        </w:tc>
        <w:tc>
          <w:tcPr>
            <w:tcW w:type="dxa" w:w="1296"/>
          </w:tcPr>
          <w:p>
            <w:pPr>
              <w:jc w:val="left"/>
            </w:pPr>
            <w:r>
              <w:t>100.00%</w:t>
            </w:r>
          </w:p>
        </w:tc>
        <w:tc>
          <w:tcPr>
            <w:tcW w:type="dxa" w:w="1584"/>
          </w:tcPr>
          <w:p>
            <w:pPr>
              <w:jc w:val="left"/>
            </w:pPr>
            <w:r>
              <w:t>100.0%</w:t>
            </w:r>
          </w:p>
        </w:tc>
        <w:tc>
          <w:tcPr>
            <w:tcW w:type="dxa" w:w="2304"/>
          </w:tcPr>
          <w:p>
            <w:pPr>
              <w:jc w:val="left"/>
            </w:pPr>
            <w:r>
              <w:t>1.8%</w:t>
            </w:r>
          </w:p>
        </w:tc>
        <w:tc>
          <w:tcPr>
            <w:tcW w:type="dxa" w:w="2016"/>
          </w:tcPr>
          <w:p>
            <w:pPr>
              <w:jc w:val="left"/>
            </w:pPr>
            <w:r>
              <w:t>0</w:t>
            </w:r>
          </w:p>
        </w:tc>
      </w:tr>
      <w:tr>
        <w:tc>
          <w:tcPr>
            <w:tcW w:type="dxa" w:w="2880"/>
          </w:tcPr>
          <w:p>
            <w:pPr>
              <w:jc w:val="left"/>
            </w:pPr>
            <w:r>
              <w:t>50% liquid</w:t>
            </w:r>
          </w:p>
        </w:tc>
        <w:tc>
          <w:tcPr>
            <w:tcW w:type="dxa" w:w="1296"/>
          </w:tcPr>
          <w:p>
            <w:pPr>
              <w:jc w:val="left"/>
            </w:pPr>
            <w:r>
              <w:t>100.00%</w:t>
            </w:r>
          </w:p>
        </w:tc>
        <w:tc>
          <w:tcPr>
            <w:tcW w:type="dxa" w:w="1584"/>
          </w:tcPr>
          <w:p>
            <w:pPr>
              <w:jc w:val="left"/>
            </w:pPr>
            <w:r>
              <w:t>100.0%</w:t>
            </w:r>
          </w:p>
        </w:tc>
        <w:tc>
          <w:tcPr>
            <w:tcW w:type="dxa" w:w="2304"/>
          </w:tcPr>
          <w:p>
            <w:pPr>
              <w:jc w:val="left"/>
            </w:pPr>
            <w:r>
              <w:t>0.6%</w:t>
            </w:r>
          </w:p>
        </w:tc>
        <w:tc>
          <w:tcPr>
            <w:tcW w:type="dxa" w:w="2016"/>
          </w:tcPr>
          <w:p>
            <w:pPr>
              <w:jc w:val="left"/>
            </w:pPr>
            <w:r>
              <w:t>0</w:t>
            </w:r>
          </w:p>
        </w:tc>
      </w:tr>
      <w:tr>
        <w:tc>
          <w:tcPr>
            <w:tcW w:type="dxa" w:w="2880"/>
          </w:tcPr>
          <w:p>
            <w:pPr>
              <w:jc w:val="left"/>
            </w:pPr>
            <w:r>
              <w:t>25% liquid</w:t>
            </w:r>
          </w:p>
        </w:tc>
        <w:tc>
          <w:tcPr>
            <w:tcW w:type="dxa" w:w="1296"/>
          </w:tcPr>
          <w:p>
            <w:pPr>
              <w:jc w:val="left"/>
            </w:pPr>
            <w:r>
              <w:t>100.00%</w:t>
            </w:r>
          </w:p>
        </w:tc>
        <w:tc>
          <w:tcPr>
            <w:tcW w:type="dxa" w:w="1584"/>
          </w:tcPr>
          <w:p>
            <w:pPr>
              <w:jc w:val="left"/>
            </w:pPr>
            <w:r>
              <w:t>100.0%</w:t>
            </w:r>
          </w:p>
        </w:tc>
        <w:tc>
          <w:tcPr>
            <w:tcW w:type="dxa" w:w="2304"/>
          </w:tcPr>
          <w:p>
            <w:pPr>
              <w:jc w:val="left"/>
            </w:pPr>
            <w:r>
              <w:t>0.0%</w:t>
            </w:r>
          </w:p>
        </w:tc>
        <w:tc>
          <w:tcPr>
            <w:tcW w:type="dxa" w:w="2016"/>
          </w:tcPr>
          <w:p>
            <w:pPr>
              <w:jc w:val="left"/>
            </w:pPr>
            <w:r>
              <w:t>0</w:t>
            </w:r>
          </w:p>
        </w:tc>
      </w:tr>
      <w:tr>
        <w:tc>
          <w:tcPr>
            <w:tcW w:type="dxa" w:w="2880"/>
          </w:tcPr>
          <w:p>
            <w:pPr>
              <w:jc w:val="left"/>
            </w:pPr>
            <w:r>
              <w:t>10% liquid</w:t>
            </w:r>
          </w:p>
        </w:tc>
        <w:tc>
          <w:tcPr>
            <w:tcW w:type="dxa" w:w="1296"/>
          </w:tcPr>
          <w:p>
            <w:pPr>
              <w:jc w:val="left"/>
            </w:pPr>
            <w:r>
              <w:t>100.00%</w:t>
            </w:r>
          </w:p>
        </w:tc>
        <w:tc>
          <w:tcPr>
            <w:tcW w:type="dxa" w:w="1584"/>
          </w:tcPr>
          <w:p>
            <w:pPr>
              <w:jc w:val="left"/>
            </w:pPr>
            <w:r>
              <w:t>100.0%</w:t>
            </w:r>
          </w:p>
        </w:tc>
        <w:tc>
          <w:tcPr>
            <w:tcW w:type="dxa" w:w="2304"/>
          </w:tcPr>
          <w:p>
            <w:pPr>
              <w:jc w:val="left"/>
            </w:pPr>
            <w:r>
              <w:t>0.0%</w:t>
            </w:r>
          </w:p>
        </w:tc>
        <w:tc>
          <w:tcPr>
            <w:tcW w:type="dxa" w:w="2016"/>
          </w:tcPr>
          <w:p>
            <w:pPr>
              <w:jc w:val="left"/>
            </w:pPr>
            <w:r>
              <w:t>0</w:t>
            </w:r>
          </w:p>
        </w:tc>
      </w:tr>
    </w:tbl>
    <w:p/>
    <w:p>
      <w:r>
        <w:rPr>
          <w:b/>
          <w:color w:val="2E74B5"/>
        </w:rPr>
        <w:t xml:space="preserve">Key Insight: </w:t>
      </w:r>
      <w:r>
        <w:t>Illiquidity limits burn execution but does not cause solvency failure. The structural solvency guarantee is accounting-based — no burns = no drop below 100% backing. Illiquidity means burns execute in smaller tranches or not at all, leaving more credits outstanding. Practical implication: maintain at least 75% liquid treasury reserves to preserve burn flexibility.</w:t>
      </w:r>
    </w:p>
    <w:p>
      <w:pPr>
        <w:pStyle w:val="Heading2"/>
      </w:pPr>
      <w:r>
        <w:t>11.4  Cold Start / Two-Sided Network Ramp</w:t>
      </w:r>
    </w:p>
    <w:p>
      <w:r>
        <w:t>Models a scenario where vendor adoption is slow at launch, limiting the effective credits per employee (CPE) in early months. CPE ramps linearly from a cold-start fraction to full CPE over the ramp duration.</w:t>
      </w:r>
    </w:p>
    <w:tbl>
      <w:tblPr>
        <w:tblStyle w:val="TableGrid"/>
        <w:tblW w:type="auto" w:w="0"/>
        <w:tblLook w:firstColumn="1" w:firstRow="1" w:lastColumn="0" w:lastRow="0" w:noHBand="0" w:noVBand="1" w:val="04A0"/>
      </w:tblPr>
      <w:tblGrid>
        <w:gridCol w:w="2880"/>
        <w:gridCol w:w="2880"/>
        <w:gridCol w:w="2880"/>
      </w:tblGrid>
      <w:tr>
        <w:tc>
          <w:tcPr>
            <w:tcW w:type="dxa" w:w="4032"/>
            <w:shd w:fill="DCE6F1" w:color="auto" w:val="clear"/>
          </w:tcPr>
          <w:p>
            <w:pPr>
              <w:jc w:val="center"/>
            </w:pPr>
            <w:r>
              <w:rPr>
                <w:b/>
              </w:rPr>
              <w:t>Scenario</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r>
      <w:tr>
        <w:tc>
          <w:tcPr>
            <w:tcW w:type="dxa" w:w="4032"/>
          </w:tcPr>
          <w:p>
            <w:pPr>
              <w:jc w:val="left"/>
            </w:pPr>
            <w:r>
              <w:t>Full CPE (baseline)</w:t>
            </w:r>
          </w:p>
        </w:tc>
        <w:tc>
          <w:tcPr>
            <w:tcW w:type="dxa" w:w="1440"/>
          </w:tcPr>
          <w:p>
            <w:pPr>
              <w:jc w:val="left"/>
            </w:pPr>
            <w:r>
              <w:t>100.00%</w:t>
            </w:r>
          </w:p>
        </w:tc>
        <w:tc>
          <w:tcPr>
            <w:tcW w:type="dxa" w:w="1584"/>
          </w:tcPr>
          <w:p>
            <w:pPr>
              <w:jc w:val="left"/>
            </w:pPr>
            <w:r>
              <w:t>99.9%</w:t>
            </w:r>
          </w:p>
        </w:tc>
      </w:tr>
      <w:tr>
        <w:tc>
          <w:tcPr>
            <w:tcW w:type="dxa" w:w="4032"/>
          </w:tcPr>
          <w:p>
            <w:pPr>
              <w:jc w:val="left"/>
            </w:pPr>
            <w:r>
              <w:t>50% CPE, 6-month ramp</w:t>
            </w:r>
          </w:p>
        </w:tc>
        <w:tc>
          <w:tcPr>
            <w:tcW w:type="dxa" w:w="1440"/>
          </w:tcPr>
          <w:p>
            <w:pPr>
              <w:jc w:val="left"/>
            </w:pPr>
            <w:r>
              <w:t>100.00%</w:t>
            </w:r>
          </w:p>
        </w:tc>
        <w:tc>
          <w:tcPr>
            <w:tcW w:type="dxa" w:w="1584"/>
          </w:tcPr>
          <w:p>
            <w:pPr>
              <w:jc w:val="left"/>
            </w:pPr>
            <w:r>
              <w:t>99.9%</w:t>
            </w:r>
          </w:p>
        </w:tc>
      </w:tr>
      <w:tr>
        <w:tc>
          <w:tcPr>
            <w:tcW w:type="dxa" w:w="4032"/>
          </w:tcPr>
          <w:p>
            <w:pPr>
              <w:jc w:val="left"/>
            </w:pPr>
            <w:r>
              <w:t>50% CPE, 12-month ramp</w:t>
            </w:r>
          </w:p>
        </w:tc>
        <w:tc>
          <w:tcPr>
            <w:tcW w:type="dxa" w:w="1440"/>
          </w:tcPr>
          <w:p>
            <w:pPr>
              <w:jc w:val="left"/>
            </w:pPr>
            <w:r>
              <w:t>100.00%</w:t>
            </w:r>
          </w:p>
        </w:tc>
        <w:tc>
          <w:tcPr>
            <w:tcW w:type="dxa" w:w="1584"/>
          </w:tcPr>
          <w:p>
            <w:pPr>
              <w:jc w:val="left"/>
            </w:pPr>
            <w:r>
              <w:t>99.9%</w:t>
            </w:r>
          </w:p>
        </w:tc>
      </w:tr>
      <w:tr>
        <w:tc>
          <w:tcPr>
            <w:tcW w:type="dxa" w:w="4032"/>
          </w:tcPr>
          <w:p>
            <w:pPr>
              <w:jc w:val="left"/>
            </w:pPr>
            <w:r>
              <w:t>50% CPE, 24-month ramp</w:t>
            </w:r>
          </w:p>
        </w:tc>
        <w:tc>
          <w:tcPr>
            <w:tcW w:type="dxa" w:w="1440"/>
          </w:tcPr>
          <w:p>
            <w:pPr>
              <w:jc w:val="left"/>
            </w:pPr>
            <w:r>
              <w:t>100.00%</w:t>
            </w:r>
          </w:p>
        </w:tc>
        <w:tc>
          <w:tcPr>
            <w:tcW w:type="dxa" w:w="1584"/>
          </w:tcPr>
          <w:p>
            <w:pPr>
              <w:jc w:val="left"/>
            </w:pPr>
            <w:r>
              <w:t>100.0%</w:t>
            </w:r>
          </w:p>
        </w:tc>
      </w:tr>
      <w:tr>
        <w:tc>
          <w:tcPr>
            <w:tcW w:type="dxa" w:w="4032"/>
          </w:tcPr>
          <w:p>
            <w:pPr>
              <w:jc w:val="left"/>
            </w:pPr>
            <w:r>
              <w:t>25% CPE, 12-month ramp</w:t>
            </w:r>
          </w:p>
        </w:tc>
        <w:tc>
          <w:tcPr>
            <w:tcW w:type="dxa" w:w="1440"/>
          </w:tcPr>
          <w:p>
            <w:pPr>
              <w:jc w:val="left"/>
            </w:pPr>
            <w:r>
              <w:t>100.00%</w:t>
            </w:r>
          </w:p>
        </w:tc>
        <w:tc>
          <w:tcPr>
            <w:tcW w:type="dxa" w:w="1584"/>
          </w:tcPr>
          <w:p>
            <w:pPr>
              <w:jc w:val="left"/>
            </w:pPr>
            <w:r>
              <w:t>99.9%</w:t>
            </w:r>
          </w:p>
        </w:tc>
      </w:tr>
      <w:tr>
        <w:tc>
          <w:tcPr>
            <w:tcW w:type="dxa" w:w="4032"/>
          </w:tcPr>
          <w:p>
            <w:pPr>
              <w:jc w:val="left"/>
            </w:pPr>
            <w:r>
              <w:t>25% CPE, 24-month ramp</w:t>
            </w:r>
          </w:p>
        </w:tc>
        <w:tc>
          <w:tcPr>
            <w:tcW w:type="dxa" w:w="1440"/>
          </w:tcPr>
          <w:p>
            <w:pPr>
              <w:jc w:val="left"/>
            </w:pPr>
            <w:r>
              <w:t>100.00%</w:t>
            </w:r>
          </w:p>
        </w:tc>
        <w:tc>
          <w:tcPr>
            <w:tcW w:type="dxa" w:w="1584"/>
          </w:tcPr>
          <w:p>
            <w:pPr>
              <w:jc w:val="left"/>
            </w:pPr>
            <w:r>
              <w:t>100.0%</w:t>
            </w:r>
          </w:p>
        </w:tc>
      </w:tr>
      <w:tr>
        <w:tc>
          <w:tcPr>
            <w:tcW w:type="dxa" w:w="4032"/>
          </w:tcPr>
          <w:p>
            <w:pPr>
              <w:jc w:val="left"/>
            </w:pPr>
            <w:r>
              <w:t>10% CPE, 12-month ramp</w:t>
            </w:r>
          </w:p>
        </w:tc>
        <w:tc>
          <w:tcPr>
            <w:tcW w:type="dxa" w:w="1440"/>
          </w:tcPr>
          <w:p>
            <w:pPr>
              <w:jc w:val="left"/>
            </w:pPr>
            <w:r>
              <w:t>100.00%</w:t>
            </w:r>
          </w:p>
        </w:tc>
        <w:tc>
          <w:tcPr>
            <w:tcW w:type="dxa" w:w="1584"/>
          </w:tcPr>
          <w:p>
            <w:pPr>
              <w:jc w:val="left"/>
            </w:pPr>
            <w:r>
              <w:t>99.9%</w:t>
            </w:r>
          </w:p>
        </w:tc>
      </w:tr>
      <w:tr>
        <w:tc>
          <w:tcPr>
            <w:tcW w:type="dxa" w:w="4032"/>
          </w:tcPr>
          <w:p>
            <w:pPr>
              <w:jc w:val="left"/>
            </w:pPr>
            <w:r>
              <w:t>10% CPE, 24-month ramp</w:t>
            </w:r>
          </w:p>
        </w:tc>
        <w:tc>
          <w:tcPr>
            <w:tcW w:type="dxa" w:w="1440"/>
          </w:tcPr>
          <w:p>
            <w:pPr>
              <w:jc w:val="left"/>
            </w:pPr>
            <w:r>
              <w:t>100.00%</w:t>
            </w:r>
          </w:p>
        </w:tc>
        <w:tc>
          <w:tcPr>
            <w:tcW w:type="dxa" w:w="1584"/>
          </w:tcPr>
          <w:p>
            <w:pPr>
              <w:jc w:val="left"/>
            </w:pPr>
            <w:r>
              <w:t>100.0%</w:t>
            </w:r>
          </w:p>
        </w:tc>
      </w:tr>
      <w:tr>
        <w:tc>
          <w:tcPr>
            <w:tcW w:type="dxa" w:w="4032"/>
          </w:tcPr>
          <w:p>
            <w:pPr>
              <w:jc w:val="left"/>
            </w:pPr>
            <w:r>
              <w:t>10% CPE, 36-month ramp</w:t>
            </w:r>
          </w:p>
        </w:tc>
        <w:tc>
          <w:tcPr>
            <w:tcW w:type="dxa" w:w="1440"/>
          </w:tcPr>
          <w:p>
            <w:pPr>
              <w:jc w:val="left"/>
            </w:pPr>
            <w:r>
              <w:t>100.00%</w:t>
            </w:r>
          </w:p>
        </w:tc>
        <w:tc>
          <w:tcPr>
            <w:tcW w:type="dxa" w:w="1584"/>
          </w:tcPr>
          <w:p>
            <w:pPr>
              <w:jc w:val="left"/>
            </w:pPr>
            <w:r>
              <w:t>100.0%</w:t>
            </w:r>
          </w:p>
        </w:tc>
      </w:tr>
    </w:tbl>
    <w:p/>
    <w:p>
      <w:r>
        <w:rPr>
          <w:b/>
          <w:color w:val="2E74B5"/>
        </w:rPr>
        <w:t xml:space="preserve">Key Insight: </w:t>
      </w:r>
      <w:r>
        <w:t>Cold start improves treasury backing. Fewer credits minted = fewer outstanding obligations. A slow vendor ramp is a feature, not a bug — it stages obligation growth as the network matures. The risk is commercial (employee purchasing power is reduced during ramp), not solvency-related.</w:t>
      </w:r>
    </w:p>
    <w:p>
      <w:pPr>
        <w:pStyle w:val="Heading2"/>
      </w:pPr>
      <w:r>
        <w:t>11.5  Vendor Dropout Threshold Sweep</w:t>
      </w:r>
    </w:p>
    <w:p>
      <w:r>
        <w:t>Models permanent vendor attrition at months 12, 36, and 60. Dropout reduces employee CPE proportionally (employees reduce credit purchases when fewer vendors accept them). Tests what minimum retention rate keeps the treasury HEALTHY.</w:t>
      </w:r>
    </w:p>
    <w:tbl>
      <w:tblPr>
        <w:tblStyle w:val="TableGrid"/>
        <w:tblW w:type="auto" w:w="0"/>
        <w:tblLook w:firstColumn="1" w:firstRow="1" w:lastColumn="0" w:lastRow="0" w:noHBand="0" w:noVBand="1" w:val="04A0"/>
      </w:tblPr>
      <w:tblGrid>
        <w:gridCol w:w="2160"/>
        <w:gridCol w:w="2160"/>
        <w:gridCol w:w="2160"/>
        <w:gridCol w:w="2160"/>
      </w:tblGrid>
      <w:tr>
        <w:tc>
          <w:tcPr>
            <w:tcW w:type="dxa" w:w="2304"/>
            <w:shd w:fill="DCE6F1" w:color="auto" w:val="clear"/>
          </w:tcPr>
          <w:p>
            <w:pPr>
              <w:jc w:val="center"/>
            </w:pPr>
            <w:r>
              <w:rPr>
                <w:b/>
              </w:rPr>
              <w:t>Dropout Month</w:t>
            </w:r>
          </w:p>
        </w:tc>
        <w:tc>
          <w:tcPr>
            <w:tcW w:type="dxa" w:w="1440"/>
            <w:shd w:fill="DCE6F1" w:color="auto" w:val="clear"/>
          </w:tcPr>
          <w:p>
            <w:pPr>
              <w:jc w:val="center"/>
            </w:pPr>
            <w:r>
              <w:rPr>
                <w:b/>
              </w:rPr>
              <w:t>Retention</w:t>
            </w:r>
          </w:p>
        </w:tc>
        <w:tc>
          <w:tcPr>
            <w:tcW w:type="dxa" w:w="1440"/>
            <w:shd w:fill="DCE6F1" w:color="auto" w:val="clear"/>
          </w:tcPr>
          <w:p>
            <w:pPr>
              <w:jc w:val="center"/>
            </w:pPr>
            <w:r>
              <w:rPr>
                <w:b/>
              </w:rPr>
              <w:t>HEALTHY</w:t>
            </w:r>
          </w:p>
        </w:tc>
        <w:tc>
          <w:tcPr>
            <w:tcW w:type="dxa" w:w="1584"/>
            <w:shd w:fill="DCE6F1" w:color="auto" w:val="clear"/>
          </w:tcPr>
          <w:p>
            <w:pPr>
              <w:jc w:val="center"/>
            </w:pPr>
            <w:r>
              <w:rPr>
                <w:b/>
              </w:rPr>
              <w:t>Min Backing</w:t>
            </w:r>
          </w:p>
        </w:tc>
      </w:tr>
      <w:tr>
        <w:tc>
          <w:tcPr>
            <w:tcW w:type="dxa" w:w="2304"/>
          </w:tcPr>
          <w:p>
            <w:pPr>
              <w:jc w:val="left"/>
            </w:pPr>
            <w:r>
              <w:t>No dropout (baseline)</w:t>
            </w:r>
          </w:p>
        </w:tc>
        <w:tc>
          <w:tcPr>
            <w:tcW w:type="dxa" w:w="1440"/>
          </w:tcPr>
          <w:p>
            <w:pPr>
              <w:jc w:val="left"/>
            </w:pPr>
            <w:r>
              <w:t>100%</w:t>
            </w:r>
          </w:p>
        </w:tc>
        <w:tc>
          <w:tcPr>
            <w:tcW w:type="dxa" w:w="1440"/>
          </w:tcPr>
          <w:p>
            <w:pPr>
              <w:jc w:val="left"/>
            </w:pPr>
            <w:r>
              <w:t>100.00%</w:t>
            </w:r>
          </w:p>
        </w:tc>
        <w:tc>
          <w:tcPr>
            <w:tcW w:type="dxa" w:w="1584"/>
          </w:tcPr>
          <w:p>
            <w:pPr>
              <w:jc w:val="left"/>
            </w:pPr>
            <w:r>
              <w:t>99.9%</w:t>
            </w:r>
          </w:p>
        </w:tc>
      </w:tr>
      <w:tr>
        <w:tc>
          <w:tcPr>
            <w:tcW w:type="dxa" w:w="2304"/>
          </w:tcPr>
          <w:p>
            <w:pPr>
              <w:jc w:val="left"/>
            </w:pPr>
            <w:r>
              <w:t>Month 12</w:t>
            </w:r>
          </w:p>
        </w:tc>
        <w:tc>
          <w:tcPr>
            <w:tcW w:type="dxa" w:w="1440"/>
          </w:tcPr>
          <w:p>
            <w:pPr>
              <w:jc w:val="left"/>
            </w:pPr>
            <w:r>
              <w:t>90%</w:t>
            </w:r>
          </w:p>
        </w:tc>
        <w:tc>
          <w:tcPr>
            <w:tcW w:type="dxa" w:w="1440"/>
          </w:tcPr>
          <w:p>
            <w:pPr>
              <w:jc w:val="left"/>
            </w:pPr>
            <w:r>
              <w:t>100.00%</w:t>
            </w:r>
          </w:p>
        </w:tc>
        <w:tc>
          <w:tcPr>
            <w:tcW w:type="dxa" w:w="1584"/>
          </w:tcPr>
          <w:p>
            <w:pPr>
              <w:jc w:val="left"/>
            </w:pPr>
            <w:r>
              <w:t>99.8%</w:t>
            </w:r>
          </w:p>
        </w:tc>
      </w:tr>
      <w:tr>
        <w:tc>
          <w:tcPr>
            <w:tcW w:type="dxa" w:w="2304"/>
          </w:tcPr>
          <w:p>
            <w:pPr>
              <w:jc w:val="left"/>
            </w:pPr>
            <w:r>
              <w:t>Month 12</w:t>
            </w:r>
          </w:p>
        </w:tc>
        <w:tc>
          <w:tcPr>
            <w:tcW w:type="dxa" w:w="1440"/>
          </w:tcPr>
          <w:p>
            <w:pPr>
              <w:jc w:val="left"/>
            </w:pPr>
            <w:r>
              <w:t>50%</w:t>
            </w:r>
          </w:p>
        </w:tc>
        <w:tc>
          <w:tcPr>
            <w:tcW w:type="dxa" w:w="1440"/>
          </w:tcPr>
          <w:p>
            <w:pPr>
              <w:jc w:val="left"/>
            </w:pPr>
            <w:r>
              <w:t>100.00%</w:t>
            </w:r>
          </w:p>
        </w:tc>
        <w:tc>
          <w:tcPr>
            <w:tcW w:type="dxa" w:w="1584"/>
          </w:tcPr>
          <w:p>
            <w:pPr>
              <w:jc w:val="left"/>
            </w:pPr>
            <w:r>
              <w:t>99.5%</w:t>
            </w:r>
          </w:p>
        </w:tc>
      </w:tr>
      <w:tr>
        <w:tc>
          <w:tcPr>
            <w:tcW w:type="dxa" w:w="2304"/>
          </w:tcPr>
          <w:p>
            <w:pPr>
              <w:jc w:val="left"/>
            </w:pPr>
            <w:r>
              <w:t>Month 12</w:t>
            </w:r>
          </w:p>
        </w:tc>
        <w:tc>
          <w:tcPr>
            <w:tcW w:type="dxa" w:w="1440"/>
          </w:tcPr>
          <w:p>
            <w:pPr>
              <w:jc w:val="left"/>
            </w:pPr>
            <w:r>
              <w:t>10%</w:t>
            </w:r>
          </w:p>
        </w:tc>
        <w:tc>
          <w:tcPr>
            <w:tcW w:type="dxa" w:w="1440"/>
          </w:tcPr>
          <w:p>
            <w:pPr>
              <w:jc w:val="left"/>
            </w:pPr>
            <w:r>
              <w:t>100.00%</w:t>
            </w:r>
          </w:p>
        </w:tc>
        <w:tc>
          <w:tcPr>
            <w:tcW w:type="dxa" w:w="1584"/>
          </w:tcPr>
          <w:p>
            <w:pPr>
              <w:jc w:val="left"/>
            </w:pPr>
            <w:r>
              <w:t>97.5%</w:t>
            </w:r>
          </w:p>
        </w:tc>
      </w:tr>
      <w:tr>
        <w:tc>
          <w:tcPr>
            <w:tcW w:type="dxa" w:w="2304"/>
          </w:tcPr>
          <w:p>
            <w:pPr>
              <w:jc w:val="left"/>
            </w:pPr>
            <w:r>
              <w:t>Month 12</w:t>
            </w:r>
          </w:p>
        </w:tc>
        <w:tc>
          <w:tcPr>
            <w:tcW w:type="dxa" w:w="1440"/>
          </w:tcPr>
          <w:p>
            <w:pPr>
              <w:jc w:val="left"/>
            </w:pPr>
            <w:r>
              <w:t>0%</w:t>
            </w:r>
          </w:p>
        </w:tc>
        <w:tc>
          <w:tcPr>
            <w:tcW w:type="dxa" w:w="1440"/>
          </w:tcPr>
          <w:p>
            <w:pPr>
              <w:jc w:val="left"/>
            </w:pPr>
            <w:r>
              <w:t>100.00%</w:t>
            </w:r>
          </w:p>
        </w:tc>
        <w:tc>
          <w:tcPr>
            <w:tcW w:type="dxa" w:w="1584"/>
          </w:tcPr>
          <w:p>
            <w:pPr>
              <w:jc w:val="left"/>
            </w:pPr>
            <w:r>
              <w:t>97.5%</w:t>
            </w:r>
          </w:p>
        </w:tc>
      </w:tr>
      <w:tr>
        <w:tc>
          <w:tcPr>
            <w:tcW w:type="dxa" w:w="2304"/>
          </w:tcPr>
          <w:p>
            <w:pPr>
              <w:jc w:val="left"/>
            </w:pPr>
            <w:r>
              <w:t>Month 36</w:t>
            </w:r>
          </w:p>
        </w:tc>
        <w:tc>
          <w:tcPr>
            <w:tcW w:type="dxa" w:w="1440"/>
          </w:tcPr>
          <w:p>
            <w:pPr>
              <w:jc w:val="left"/>
            </w:pPr>
            <w:r>
              <w:t>50%</w:t>
            </w:r>
          </w:p>
        </w:tc>
        <w:tc>
          <w:tcPr>
            <w:tcW w:type="dxa" w:w="1440"/>
          </w:tcPr>
          <w:p>
            <w:pPr>
              <w:jc w:val="left"/>
            </w:pPr>
            <w:r>
              <w:t>100.00%</w:t>
            </w:r>
          </w:p>
        </w:tc>
        <w:tc>
          <w:tcPr>
            <w:tcW w:type="dxa" w:w="1584"/>
          </w:tcPr>
          <w:p>
            <w:pPr>
              <w:jc w:val="left"/>
            </w:pPr>
            <w:r>
              <w:t>97.5%</w:t>
            </w:r>
          </w:p>
        </w:tc>
      </w:tr>
      <w:tr>
        <w:tc>
          <w:tcPr>
            <w:tcW w:type="dxa" w:w="2304"/>
          </w:tcPr>
          <w:p>
            <w:pPr>
              <w:jc w:val="left"/>
            </w:pPr>
            <w:r>
              <w:t>Month 36</w:t>
            </w:r>
          </w:p>
        </w:tc>
        <w:tc>
          <w:tcPr>
            <w:tcW w:type="dxa" w:w="1440"/>
          </w:tcPr>
          <w:p>
            <w:pPr>
              <w:jc w:val="left"/>
            </w:pPr>
            <w:r>
              <w:t>0%</w:t>
            </w:r>
          </w:p>
        </w:tc>
        <w:tc>
          <w:tcPr>
            <w:tcW w:type="dxa" w:w="1440"/>
          </w:tcPr>
          <w:p>
            <w:pPr>
              <w:jc w:val="left"/>
            </w:pPr>
            <w:r>
              <w:t>100.00%</w:t>
            </w:r>
          </w:p>
        </w:tc>
        <w:tc>
          <w:tcPr>
            <w:tcW w:type="dxa" w:w="1584"/>
          </w:tcPr>
          <w:p>
            <w:pPr>
              <w:jc w:val="left"/>
            </w:pPr>
            <w:r>
              <w:t>97.6%</w:t>
            </w:r>
          </w:p>
        </w:tc>
      </w:tr>
      <w:tr>
        <w:tc>
          <w:tcPr>
            <w:tcW w:type="dxa" w:w="2304"/>
          </w:tcPr>
          <w:p>
            <w:pPr>
              <w:jc w:val="left"/>
            </w:pPr>
            <w:r>
              <w:t>Month 60</w:t>
            </w:r>
          </w:p>
        </w:tc>
        <w:tc>
          <w:tcPr>
            <w:tcW w:type="dxa" w:w="1440"/>
          </w:tcPr>
          <w:p>
            <w:pPr>
              <w:jc w:val="left"/>
            </w:pPr>
            <w:r>
              <w:t>50%</w:t>
            </w:r>
          </w:p>
        </w:tc>
        <w:tc>
          <w:tcPr>
            <w:tcW w:type="dxa" w:w="1440"/>
          </w:tcPr>
          <w:p>
            <w:pPr>
              <w:jc w:val="left"/>
            </w:pPr>
            <w:r>
              <w:t>100.00%</w:t>
            </w:r>
          </w:p>
        </w:tc>
        <w:tc>
          <w:tcPr>
            <w:tcW w:type="dxa" w:w="1584"/>
          </w:tcPr>
          <w:p>
            <w:pPr>
              <w:jc w:val="left"/>
            </w:pPr>
            <w:r>
              <w:t>97.5%</w:t>
            </w:r>
          </w:p>
        </w:tc>
      </w:tr>
      <w:tr>
        <w:tc>
          <w:tcPr>
            <w:tcW w:type="dxa" w:w="2304"/>
          </w:tcPr>
          <w:p>
            <w:pPr>
              <w:jc w:val="left"/>
            </w:pPr>
            <w:r>
              <w:t>Month 60</w:t>
            </w:r>
          </w:p>
        </w:tc>
        <w:tc>
          <w:tcPr>
            <w:tcW w:type="dxa" w:w="1440"/>
          </w:tcPr>
          <w:p>
            <w:pPr>
              <w:jc w:val="left"/>
            </w:pPr>
            <w:r>
              <w:t>0%</w:t>
            </w:r>
          </w:p>
        </w:tc>
        <w:tc>
          <w:tcPr>
            <w:tcW w:type="dxa" w:w="1440"/>
          </w:tcPr>
          <w:p>
            <w:pPr>
              <w:jc w:val="left"/>
            </w:pPr>
            <w:r>
              <w:t>100.00%</w:t>
            </w:r>
          </w:p>
        </w:tc>
        <w:tc>
          <w:tcPr>
            <w:tcW w:type="dxa" w:w="1584"/>
          </w:tcPr>
          <w:p>
            <w:pPr>
              <w:jc w:val="left"/>
            </w:pPr>
            <w:r>
              <w:t>97.6%</w:t>
            </w:r>
          </w:p>
        </w:tc>
      </w:tr>
    </w:tbl>
    <w:p/>
    <w:p>
      <w:r>
        <w:rPr>
          <w:b/>
          <w:color w:val="2E74B5"/>
        </w:rPr>
        <w:t xml:space="preserve">Key Insight: </w:t>
      </w:r>
      <w:r>
        <w:t>Even 0% vendor retention after month 12 cannot breach the solvency floor. Treasury holds $1.00/credit already minted; minting stops but obligations do not grow. Vendor dropout is a utility risk (employees can’t spend credits) and a commercial risk (program fails as a benefit), but it is not a treasury solvency risk. These failure modes are separable and require separate mitigations.</w:t>
      </w:r>
    </w:p>
    <w:p>
      <w:pPr>
        <w:pStyle w:val="Heading2"/>
      </w:pPr>
      <w:r>
        <w:t>11.6  Operational Risk Summary</w:t>
      </w:r>
    </w:p>
    <w:tbl>
      <w:tblPr>
        <w:tblStyle w:val="TableGrid"/>
        <w:tblW w:type="auto" w:w="0"/>
        <w:tblLook w:firstColumn="1" w:firstRow="1" w:lastColumn="0" w:lastRow="0" w:noHBand="0" w:noVBand="1" w:val="04A0"/>
      </w:tblPr>
      <w:tblGrid>
        <w:gridCol w:w="2880"/>
        <w:gridCol w:w="2880"/>
        <w:gridCol w:w="2880"/>
      </w:tblGrid>
      <w:tr>
        <w:tc>
          <w:tcPr>
            <w:tcW w:type="dxa" w:w="3456"/>
            <w:shd w:fill="DCE6F1" w:color="auto" w:val="clear"/>
          </w:tcPr>
          <w:p>
            <w:pPr>
              <w:jc w:val="center"/>
            </w:pPr>
            <w:r>
              <w:rPr>
                <w:b/>
              </w:rPr>
              <w:t>Risk</w:t>
            </w:r>
          </w:p>
        </w:tc>
        <w:tc>
          <w:tcPr>
            <w:tcW w:type="dxa" w:w="2016"/>
            <w:shd w:fill="DCE6F1" w:color="auto" w:val="clear"/>
          </w:tcPr>
          <w:p>
            <w:pPr>
              <w:jc w:val="center"/>
            </w:pPr>
            <w:r>
              <w:rPr>
                <w:b/>
              </w:rPr>
              <w:t>Solvency Impact</w:t>
            </w:r>
          </w:p>
        </w:tc>
        <w:tc>
          <w:tcPr>
            <w:tcW w:type="dxa" w:w="3168"/>
            <w:shd w:fill="DCE6F1" w:color="auto" w:val="clear"/>
          </w:tcPr>
          <w:p>
            <w:pPr>
              <w:jc w:val="center"/>
            </w:pPr>
            <w:r>
              <w:rPr>
                <w:b/>
              </w:rPr>
              <w:t>Notes</w:t>
            </w:r>
          </w:p>
        </w:tc>
      </w:tr>
      <w:tr>
        <w:tc>
          <w:tcPr>
            <w:tcW w:type="dxa" w:w="3456"/>
          </w:tcPr>
          <w:p>
            <w:pPr>
              <w:jc w:val="left"/>
            </w:pPr>
            <w:r>
              <w:t>Recirculation lag (vendor adoption)</w:t>
            </w:r>
          </w:p>
        </w:tc>
        <w:tc>
          <w:tcPr>
            <w:tcW w:type="dxa" w:w="2016"/>
          </w:tcPr>
          <w:p>
            <w:pPr>
              <w:jc w:val="left"/>
            </w:pPr>
            <w:r>
              <w:t>None</w:t>
            </w:r>
          </w:p>
        </w:tc>
        <w:tc>
          <w:tcPr>
            <w:tcW w:type="dxa" w:w="3168"/>
          </w:tcPr>
          <w:p>
            <w:pPr>
              <w:jc w:val="left"/>
            </w:pPr>
            <w:r>
              <w:t>Acts as a demand throttle; fewer obligations</w:t>
            </w:r>
          </w:p>
        </w:tc>
      </w:tr>
      <w:tr>
        <w:tc>
          <w:tcPr>
            <w:tcW w:type="dxa" w:w="3456"/>
          </w:tcPr>
          <w:p>
            <w:pPr>
              <w:jc w:val="left"/>
            </w:pPr>
            <w:r>
              <w:t>Interest rate environment shift</w:t>
            </w:r>
          </w:p>
        </w:tc>
        <w:tc>
          <w:tcPr>
            <w:tcW w:type="dxa" w:w="2016"/>
          </w:tcPr>
          <w:p>
            <w:pPr>
              <w:jc w:val="left"/>
            </w:pPr>
            <w:r>
              <w:t>None</w:t>
            </w:r>
          </w:p>
        </w:tc>
        <w:tc>
          <w:tcPr>
            <w:tcW w:type="dxa" w:w="3168"/>
          </w:tcPr>
          <w:p>
            <w:pPr>
              <w:jc w:val="left"/>
            </w:pPr>
            <w:r>
              <w:t>Delays burns, no floor breach at any rate</w:t>
            </w:r>
          </w:p>
        </w:tc>
      </w:tr>
      <w:tr>
        <w:tc>
          <w:tcPr>
            <w:tcW w:type="dxa" w:w="3456"/>
          </w:tcPr>
          <w:p>
            <w:pPr>
              <w:jc w:val="left"/>
            </w:pPr>
            <w:r>
              <w:t>Treasury illiquidity (25% available)</w:t>
            </w:r>
          </w:p>
        </w:tc>
        <w:tc>
          <w:tcPr>
            <w:tcW w:type="dxa" w:w="2016"/>
          </w:tcPr>
          <w:p>
            <w:pPr>
              <w:jc w:val="left"/>
            </w:pPr>
            <w:r>
              <w:t>None</w:t>
            </w:r>
          </w:p>
        </w:tc>
        <w:tc>
          <w:tcPr>
            <w:tcW w:type="dxa" w:w="3168"/>
          </w:tcPr>
          <w:p>
            <w:pPr>
              <w:jc w:val="left"/>
            </w:pPr>
            <w:r>
              <w:t>Burns reduced, not prevented; identity holds</w:t>
            </w:r>
          </w:p>
        </w:tc>
      </w:tr>
      <w:tr>
        <w:tc>
          <w:tcPr>
            <w:tcW w:type="dxa" w:w="3456"/>
          </w:tcPr>
          <w:p>
            <w:pPr>
              <w:jc w:val="left"/>
            </w:pPr>
            <w:r>
              <w:t>Cold start (10% CPE, 36mo ramp)</w:t>
            </w:r>
          </w:p>
        </w:tc>
        <w:tc>
          <w:tcPr>
            <w:tcW w:type="dxa" w:w="2016"/>
          </w:tcPr>
          <w:p>
            <w:pPr>
              <w:jc w:val="left"/>
            </w:pPr>
            <w:r>
              <w:t>None (improves)</w:t>
            </w:r>
          </w:p>
        </w:tc>
        <w:tc>
          <w:tcPr>
            <w:tcW w:type="dxa" w:w="3168"/>
          </w:tcPr>
          <w:p>
            <w:pPr>
              <w:jc w:val="left"/>
            </w:pPr>
            <w:r>
              <w:t>Fewer early obligations = higher ratio</w:t>
            </w:r>
          </w:p>
        </w:tc>
      </w:tr>
      <w:tr>
        <w:tc>
          <w:tcPr>
            <w:tcW w:type="dxa" w:w="3456"/>
          </w:tcPr>
          <w:p>
            <w:pPr>
              <w:jc w:val="left"/>
            </w:pPr>
            <w:r>
              <w:t>Vendor dropout (100% at month 12)</w:t>
            </w:r>
          </w:p>
        </w:tc>
        <w:tc>
          <w:tcPr>
            <w:tcW w:type="dxa" w:w="2016"/>
          </w:tcPr>
          <w:p>
            <w:pPr>
              <w:jc w:val="left"/>
            </w:pPr>
            <w:r>
              <w:t>None</w:t>
            </w:r>
          </w:p>
        </w:tc>
        <w:tc>
          <w:tcPr>
            <w:tcW w:type="dxa" w:w="3168"/>
          </w:tcPr>
          <w:p>
            <w:pPr>
              <w:jc w:val="left"/>
            </w:pPr>
            <w:r>
              <w:t>Utility risk only; existing obligations fixed</w:t>
            </w:r>
          </w:p>
        </w:tc>
      </w:tr>
    </w:tbl>
    <w:p/>
    <w:p>
      <w:r>
        <w:t>Structural Conclusion: None of the five operational risk scenarios can breach the 50% solvency floor. The mathematical identity (wallet ≥ total credits from minting mechanics alone) is immune to network conditions. The dominant risk to ADBP is commercial viability — vendor and employee network effects — not treasury solvency. These are separable problems requiring separate solutions.</w:t>
      </w:r>
    </w:p>
    <w:p>
      <w:r>
        <w:br w:type="page"/>
      </w:r>
    </w:p>
    <w:p>
      <w:pPr>
        <w:pStyle w:val="Heading1"/>
      </w:pPr>
      <w:r>
        <w:t>12. Final Conclusions</w:t>
      </w:r>
    </w:p>
    <w:p>
      <w:r>
        <w:t>This section synthesizes all findings from the full simulation corpus: 300,000-run Monte Carlo campaign (3 seeds x 100,000 runs x 240 months), 8 advanced simulation families (5,000 runs each), and 5 operational risk simulation families (5,000 runs each). Total simulations executed: approximately 340,000 independent runs.</w:t>
      </w:r>
    </w:p>
    <w:p/>
    <w:p>
      <w:pPr>
        <w:pStyle w:val="Heading2"/>
      </w:pPr>
      <w:r>
        <w:t>Conclusion 1: Treasury Failure Is Mathematically Impossible</w:t>
      </w:r>
    </w:p>
    <w:p>
      <w:r>
        <w:t>The most important finding of the entire research campaign is not a statistical result — it is a mathematical proof. The system carries an accounting identity:</w:t>
      </w:r>
    </w:p>
    <w:p>
      <w:pPr>
        <w:ind w:left="720"/>
      </w:pPr>
      <w:r>
        <w:rPr>
          <w:b/>
          <w:color w:val="1F3864"/>
          <w:sz w:val="20"/>
        </w:rPr>
        <w:t>treasury_wallet = Σ(inflows) + interest  ≥  Σ(credits_minted × $1.00)  =  total_credits_outstanding</w:t>
      </w:r>
    </w:p>
    <w:p/>
    <w:p>
      <w:r>
        <w:t>Because every credit minted deposits exactly $1.00 into the treasury, and interest only adds further, the backing ratio cannot fall below 100% without an explicit burn event. FAILURE (backing &lt; 50%) is structurally impossible from market conditions alone. This was confirmed across:</w:t>
      </w:r>
    </w:p>
    <w:p>
      <w:pPr>
        <w:pStyle w:val="ListBullet"/>
      </w:pPr>
      <w:r>
        <w:t>300,000 Monte Carlo runs: 0.00% FAILURE rate</w:t>
      </w:r>
    </w:p>
    <w:p>
      <w:pPr>
        <w:pStyle w:val="ListBullet"/>
      </w:pPr>
      <w:r>
        <w:t>Zero interest rate stress test: min backing = 100.0%</w:t>
      </w:r>
    </w:p>
    <w:p>
      <w:pPr>
        <w:pStyle w:val="ListBullet"/>
      </w:pPr>
      <w:r>
        <w:t>75% employee loss at month 6: min backing = 100.0%</w:t>
      </w:r>
    </w:p>
    <w:p>
      <w:pPr>
        <w:pStyle w:val="ListBullet"/>
      </w:pPr>
      <w:r>
        <w:t>Extreme CPE (5,000 credits/employee): min backing = 100.0%</w:t>
      </w:r>
    </w:p>
    <w:p>
      <w:pPr>
        <w:pStyle w:val="ListBullet"/>
      </w:pPr>
      <w:r>
        <w:t>All adversity combined simultaneously: min backing = 100.0%</w:t>
      </w:r>
    </w:p>
    <w:p>
      <w:pPr>
        <w:pStyle w:val="ListBullet"/>
      </w:pPr>
      <w:r>
        <w:t>All 5 operational risk scenarios (recirculation, rates, liquidity, cold start, dropout): 0.00% FAILURE</w:t>
      </w:r>
    </w:p>
    <w:p/>
    <w:p>
      <w:r>
        <w:t>The affordability cap formula (max_burnable = (wallet − 0.50 × total_credits) / 1.50) mathematically prevents any burn event from pushing backing below 50%. WARNING and FAILURE states can only be reached through misconfigured burns — specifically by setting the trigger ratio below 1.2×.</w:t>
      </w:r>
    </w:p>
    <w:p/>
    <w:p>
      <w:pPr>
        <w:pStyle w:val="Heading2"/>
      </w:pPr>
      <w:r>
        <w:t>Conclusion 2: Optimal Burn Strategy — One Late Large Event</w:t>
      </w:r>
    </w:p>
    <w:p>
      <w:r>
        <w:t>The 300,000-run MC campaign identified the optimal burn configuration. The result is clear and converged (0.12 percentage point spread across all three seeds):</w:t>
      </w:r>
    </w:p>
    <w:tbl>
      <w:tblPr>
        <w:tblStyle w:val="TableGrid"/>
        <w:tblW w:type="auto" w:w="0"/>
        <w:tblLook w:firstColumn="1" w:firstRow="1" w:lastColumn="0" w:lastRow="0" w:noHBand="0" w:noVBand="1" w:val="04A0"/>
      </w:tblPr>
      <w:tblGrid>
        <w:gridCol w:w="2880"/>
        <w:gridCol w:w="2880"/>
        <w:gridCol w:w="2880"/>
      </w:tblGrid>
      <w:tr>
        <w:tc>
          <w:tcPr>
            <w:tcW w:type="dxa" w:w="2304"/>
            <w:shd w:fill="DCE6F1" w:color="auto" w:val="clear"/>
          </w:tcPr>
          <w:p>
            <w:pPr>
              <w:jc w:val="center"/>
            </w:pPr>
            <w:r>
              <w:rPr>
                <w:b/>
              </w:rPr>
              <w:t>Parameter</w:t>
            </w:r>
          </w:p>
        </w:tc>
        <w:tc>
          <w:tcPr>
            <w:tcW w:type="dxa" w:w="3168"/>
            <w:shd w:fill="DCE6F1" w:color="auto" w:val="clear"/>
          </w:tcPr>
          <w:p>
            <w:pPr>
              <w:jc w:val="center"/>
            </w:pPr>
            <w:r>
              <w:rPr>
                <w:b/>
              </w:rPr>
              <w:t>Optimal Value</w:t>
            </w:r>
          </w:p>
        </w:tc>
        <w:tc>
          <w:tcPr>
            <w:tcW w:type="dxa" w:w="3168"/>
            <w:shd w:fill="DCE6F1" w:color="auto" w:val="clear"/>
          </w:tcPr>
          <w:p>
            <w:pPr>
              <w:jc w:val="center"/>
            </w:pPr>
            <w:r>
              <w:rPr>
                <w:b/>
              </w:rPr>
              <w:t>Why</w:t>
            </w:r>
          </w:p>
        </w:tc>
      </w:tr>
      <w:tr>
        <w:tc>
          <w:tcPr>
            <w:tcW w:type="dxa" w:w="2304"/>
          </w:tcPr>
          <w:p>
            <w:pPr>
              <w:jc w:val="left"/>
            </w:pPr>
            <w:r>
              <w:t>Trigger ratio</w:t>
            </w:r>
          </w:p>
        </w:tc>
        <w:tc>
          <w:tcPr>
            <w:tcW w:type="dxa" w:w="3168"/>
          </w:tcPr>
          <w:p>
            <w:pPr>
              <w:jc w:val="left"/>
            </w:pPr>
            <w:r>
              <w:t>1.332× (backing ≥ 133.2%)</w:t>
            </w:r>
          </w:p>
        </w:tc>
        <w:tc>
          <w:tcPr>
            <w:tcW w:type="dxa" w:w="3168"/>
          </w:tcPr>
          <w:p>
            <w:pPr>
              <w:jc w:val="left"/>
            </w:pPr>
            <w:r>
              <w:t>Only point above the 1.2× HEALTHY cliff with maximum burn fraction</w:t>
            </w:r>
          </w:p>
        </w:tc>
      </w:tr>
      <w:tr>
        <w:tc>
          <w:tcPr>
            <w:tcW w:type="dxa" w:w="2304"/>
          </w:tcPr>
          <w:p>
            <w:pPr>
              <w:jc w:val="left"/>
            </w:pPr>
            <w:r>
              <w:t>Burn size</w:t>
            </w:r>
          </w:p>
        </w:tc>
        <w:tc>
          <w:tcPr>
            <w:tcW w:type="dxa" w:w="3168"/>
          </w:tcPr>
          <w:p>
            <w:pPr>
              <w:jc w:val="left"/>
            </w:pPr>
            <w:r>
              <w:t>34.9% of outstanding credits</w:t>
            </w:r>
          </w:p>
        </w:tc>
        <w:tc>
          <w:tcPr>
            <w:tcW w:type="dxa" w:w="3168"/>
          </w:tcPr>
          <w:p>
            <w:pPr>
              <w:jc w:val="left"/>
            </w:pPr>
            <w:r>
              <w:t>Maximizes obligation destruction in one event</w:t>
            </w:r>
          </w:p>
        </w:tc>
      </w:tr>
      <w:tr>
        <w:tc>
          <w:tcPr>
            <w:tcW w:type="dxa" w:w="2304"/>
          </w:tcPr>
          <w:p>
            <w:pPr>
              <w:jc w:val="left"/>
            </w:pPr>
            <w:r>
              <w:t>Cooldown</w:t>
            </w:r>
          </w:p>
        </w:tc>
        <w:tc>
          <w:tcPr>
            <w:tcW w:type="dxa" w:w="3168"/>
          </w:tcPr>
          <w:p>
            <w:pPr>
              <w:jc w:val="left"/>
            </w:pPr>
            <w:r>
              <w:t>18 months minimum</w:t>
            </w:r>
          </w:p>
        </w:tc>
        <w:tc>
          <w:tcPr>
            <w:tcW w:type="dxa" w:w="3168"/>
          </w:tcPr>
          <w:p>
            <w:pPr>
              <w:jc w:val="left"/>
            </w:pPr>
            <w:r>
              <w:t>Prevents premature consecutive burns</w:t>
            </w:r>
          </w:p>
        </w:tc>
      </w:tr>
      <w:tr>
        <w:tc>
          <w:tcPr>
            <w:tcW w:type="dxa" w:w="2304"/>
          </w:tcPr>
          <w:p>
            <w:pPr>
              <w:jc w:val="left"/>
            </w:pPr>
            <w:r>
              <w:t>First eligible</w:t>
            </w:r>
          </w:p>
        </w:tc>
        <w:tc>
          <w:tcPr>
            <w:tcW w:type="dxa" w:w="3168"/>
          </w:tcPr>
          <w:p>
            <w:pPr>
              <w:jc w:val="left"/>
            </w:pPr>
            <w:r>
              <w:t>Month 20</w:t>
            </w:r>
          </w:p>
        </w:tc>
        <w:tc>
          <w:tcPr>
            <w:tcW w:type="dxa" w:w="3168"/>
          </w:tcPr>
          <w:p>
            <w:pPr>
              <w:jc w:val="left"/>
            </w:pPr>
            <w:r>
              <w:t>Ramp-up protection — treasury too shallow before this</w:t>
            </w:r>
          </w:p>
        </w:tc>
      </w:tr>
      <w:tr>
        <w:tc>
          <w:tcPr>
            <w:tcW w:type="dxa" w:w="2304"/>
          </w:tcPr>
          <w:p>
            <w:pPr>
              <w:jc w:val="left"/>
            </w:pPr>
            <w:r>
              <w:t>Result</w:t>
            </w:r>
          </w:p>
        </w:tc>
        <w:tc>
          <w:tcPr>
            <w:tcW w:type="dxa" w:w="3168"/>
          </w:tcPr>
          <w:p>
            <w:pPr>
              <w:jc w:val="left"/>
            </w:pPr>
            <w:r>
              <w:t>1 burn event, 34.9% destroyed, 97.3% final backing</w:t>
            </w:r>
          </w:p>
        </w:tc>
        <w:tc>
          <w:tcPr>
            <w:tcW w:type="dxa" w:w="3168"/>
          </w:tcPr>
          <w:p>
            <w:pPr>
              <w:jc w:val="left"/>
            </w:pPr>
            <w:r>
              <w:t>Single late large event outperforms all alternatives</w:t>
            </w:r>
          </w:p>
        </w:tc>
      </w:tr>
    </w:tbl>
    <w:p/>
    <w:p>
      <w:r>
        <w:t>Strategies with many small early burns (trigger 1.0×, 2% size, 30+ events) achieve 100% HEALTHY rate but destroy fewer total credits (21–22%). Strategies with one large late burn destroy 34.9% while maintaining 97.3% final backing. The scoring function confirms: burn late, burn large, burn once.</w:t>
      </w:r>
    </w:p>
    <w:p/>
    <w:p>
      <w:pPr>
        <w:pStyle w:val="Heading2"/>
      </w:pPr>
      <w:r>
        <w:t>Conclusion 3: When to Burn — A Threshold, Not a Calendar</w:t>
      </w:r>
    </w:p>
    <w:p>
      <w:r>
        <w:t>The optimal burn is not scheduled to a calendar date. It fires when the backing ratio reaches 133.2%. Under the baseline model (4% APR, ~1,000 employees/month growth), this threshold is reached around month 200–240 — roughly year 17–20.</w:t>
      </w:r>
    </w:p>
    <w:p/>
    <w:p>
      <w:r>
        <w:t>Interest rate environment is the primary variable controlling when the trigger fires:</w:t>
      </w:r>
    </w:p>
    <w:tbl>
      <w:tblPr>
        <w:tblStyle w:val="TableGrid"/>
        <w:tblW w:type="auto" w:w="0"/>
        <w:tblLook w:firstColumn="1" w:firstRow="1" w:lastColumn="0" w:lastRow="0" w:noHBand="0" w:noVBand="1" w:val="04A0"/>
      </w:tblPr>
      <w:tblGrid>
        <w:gridCol w:w="2880"/>
        <w:gridCol w:w="2880"/>
        <w:gridCol w:w="2880"/>
      </w:tblGrid>
      <w:tr>
        <w:tc>
          <w:tcPr>
            <w:tcW w:type="dxa" w:w="2880"/>
            <w:shd w:fill="DCE6F1" w:color="auto" w:val="clear"/>
          </w:tcPr>
          <w:p>
            <w:pPr>
              <w:jc w:val="center"/>
            </w:pPr>
            <w:r>
              <w:rPr>
                <w:b/>
              </w:rPr>
              <w:t>Rate Environment</w:t>
            </w:r>
          </w:p>
        </w:tc>
        <w:tc>
          <w:tcPr>
            <w:tcW w:type="dxa" w:w="1728"/>
            <w:shd w:fill="DCE6F1" w:color="auto" w:val="clear"/>
          </w:tcPr>
          <w:p>
            <w:pPr>
              <w:jc w:val="center"/>
            </w:pPr>
            <w:r>
              <w:rPr>
                <w:b/>
              </w:rPr>
              <w:t>Trigger Fires?</w:t>
            </w:r>
          </w:p>
        </w:tc>
        <w:tc>
          <w:tcPr>
            <w:tcW w:type="dxa" w:w="4032"/>
            <w:shd w:fill="DCE6F1" w:color="auto" w:val="clear"/>
          </w:tcPr>
          <w:p>
            <w:pPr>
              <w:jc w:val="center"/>
            </w:pPr>
            <w:r>
              <w:rPr>
                <w:b/>
              </w:rPr>
              <w:t>Approximate Timing</w:t>
            </w:r>
          </w:p>
        </w:tc>
      </w:tr>
      <w:tr>
        <w:tc>
          <w:tcPr>
            <w:tcW w:type="dxa" w:w="2880"/>
          </w:tcPr>
          <w:p>
            <w:pPr>
              <w:jc w:val="left"/>
            </w:pPr>
            <w:r>
              <w:t>4% APR (baseline)</w:t>
            </w:r>
          </w:p>
        </w:tc>
        <w:tc>
          <w:tcPr>
            <w:tcW w:type="dxa" w:w="1728"/>
          </w:tcPr>
          <w:p>
            <w:pPr>
              <w:jc w:val="left"/>
            </w:pPr>
            <w:r>
              <w:t>Yes</w:t>
            </w:r>
          </w:p>
        </w:tc>
        <w:tc>
          <w:tcPr>
            <w:tcW w:type="dxa" w:w="4032"/>
          </w:tcPr>
          <w:p>
            <w:pPr>
              <w:jc w:val="left"/>
            </w:pPr>
            <w:r>
              <w:t>Month 200–240 (year 17–20)</w:t>
            </w:r>
          </w:p>
        </w:tc>
      </w:tr>
      <w:tr>
        <w:tc>
          <w:tcPr>
            <w:tcW w:type="dxa" w:w="2880"/>
          </w:tcPr>
          <w:p>
            <w:pPr>
              <w:jc w:val="left"/>
            </w:pPr>
            <w:r>
              <w:t>4% → 1% at month 36</w:t>
            </w:r>
          </w:p>
        </w:tc>
        <w:tc>
          <w:tcPr>
            <w:tcW w:type="dxa" w:w="1728"/>
          </w:tcPr>
          <w:p>
            <w:pPr>
              <w:jc w:val="left"/>
            </w:pPr>
            <w:r>
              <w:t>Yes (delayed)</w:t>
            </w:r>
          </w:p>
        </w:tc>
        <w:tc>
          <w:tcPr>
            <w:tcW w:type="dxa" w:w="4032"/>
          </w:tcPr>
          <w:p>
            <w:pPr>
              <w:jc w:val="left"/>
            </w:pPr>
            <w:r>
              <w:t>Later than baseline; stochastic variation</w:t>
            </w:r>
          </w:p>
        </w:tc>
      </w:tr>
      <w:tr>
        <w:tc>
          <w:tcPr>
            <w:tcW w:type="dxa" w:w="2880"/>
          </w:tcPr>
          <w:p>
            <w:pPr>
              <w:jc w:val="left"/>
            </w:pPr>
            <w:r>
              <w:t>4% → 0% at month 36</w:t>
            </w:r>
          </w:p>
        </w:tc>
        <w:tc>
          <w:tcPr>
            <w:tcW w:type="dxa" w:w="1728"/>
          </w:tcPr>
          <w:p>
            <w:pPr>
              <w:jc w:val="left"/>
            </w:pPr>
            <w:r>
              <w:t>Yes (further delayed)</w:t>
            </w:r>
          </w:p>
        </w:tc>
        <w:tc>
          <w:tcPr>
            <w:tcW w:type="dxa" w:w="4032"/>
          </w:tcPr>
          <w:p>
            <w:pPr>
              <w:jc w:val="left"/>
            </w:pPr>
            <w:r>
              <w:t>Later still; less interest accumulation</w:t>
            </w:r>
          </w:p>
        </w:tc>
      </w:tr>
      <w:tr>
        <w:tc>
          <w:tcPr>
            <w:tcW w:type="dxa" w:w="2880"/>
          </w:tcPr>
          <w:p>
            <w:pPr>
              <w:jc w:val="left"/>
            </w:pPr>
            <w:r>
              <w:t>0% APR full term</w:t>
            </w:r>
          </w:p>
        </w:tc>
        <w:tc>
          <w:tcPr>
            <w:tcW w:type="dxa" w:w="1728"/>
          </w:tcPr>
          <w:p>
            <w:pPr>
              <w:jc w:val="left"/>
            </w:pPr>
            <w:r>
              <w:t>No</w:t>
            </w:r>
          </w:p>
        </w:tc>
        <w:tc>
          <w:tcPr>
            <w:tcW w:type="dxa" w:w="4032"/>
          </w:tcPr>
          <w:p>
            <w:pPr>
              <w:jc w:val="left"/>
            </w:pPr>
            <w:r>
              <w:t>Never fires over 240 months</w:t>
            </w:r>
          </w:p>
        </w:tc>
      </w:tr>
    </w:tbl>
    <w:p/>
    <w:p>
      <w:r>
        <w:t>At 0% APR the trigger never fires. The treasury holds exactly $1.00/credit indefinitely — structurally solvent, but no credit destruction occurs. If the rate environment is expected to be persistently low (below 3% APR), consider lowering the trigger to 1.2–1.25× to ensure at least one burn occurs. Never set the trigger below 1.2× — this is the cliff below which WARNING states emerge.</w:t>
      </w:r>
    </w:p>
    <w:p/>
    <w:p>
      <w:pPr>
        <w:pStyle w:val="Heading2"/>
      </w:pPr>
      <w:r>
        <w:t>Conclusion 4: Risk Classification — Solvency vs. Commercial</w:t>
      </w:r>
    </w:p>
    <w:p>
      <w:r>
        <w:t>The simulation corpus reveals a critical distinction: the risks that threaten ADBP's commercial viability are entirely separate from the risks that could threaten its treasury solvency. These require different mitigations.</w:t>
      </w:r>
    </w:p>
    <w:tbl>
      <w:tblPr>
        <w:tblStyle w:val="TableGrid"/>
        <w:tblW w:type="auto" w:w="0"/>
        <w:tblLook w:firstColumn="1" w:firstRow="1" w:lastColumn="0" w:lastRow="0" w:noHBand="0" w:noVBand="1" w:val="04A0"/>
      </w:tblPr>
      <w:tblGrid>
        <w:gridCol w:w="2160"/>
        <w:gridCol w:w="2160"/>
        <w:gridCol w:w="2160"/>
        <w:gridCol w:w="2160"/>
      </w:tblGrid>
      <w:tr>
        <w:tc>
          <w:tcPr>
            <w:tcW w:type="dxa" w:w="2880"/>
            <w:shd w:fill="DCE6F1" w:color="auto" w:val="clear"/>
          </w:tcPr>
          <w:p>
            <w:pPr>
              <w:jc w:val="center"/>
            </w:pPr>
            <w:r>
              <w:rPr>
                <w:b/>
              </w:rPr>
              <w:t>Risk</w:t>
            </w:r>
          </w:p>
        </w:tc>
        <w:tc>
          <w:tcPr>
            <w:tcW w:type="dxa" w:w="1584"/>
            <w:shd w:fill="DCE6F1" w:color="auto" w:val="clear"/>
          </w:tcPr>
          <w:p>
            <w:pPr>
              <w:jc w:val="center"/>
            </w:pPr>
            <w:r>
              <w:rPr>
                <w:b/>
              </w:rPr>
              <w:t>Type</w:t>
            </w:r>
          </w:p>
        </w:tc>
        <w:tc>
          <w:tcPr>
            <w:tcW w:type="dxa" w:w="2016"/>
            <w:shd w:fill="DCE6F1" w:color="auto" w:val="clear"/>
          </w:tcPr>
          <w:p>
            <w:pPr>
              <w:jc w:val="center"/>
            </w:pPr>
            <w:r>
              <w:rPr>
                <w:b/>
              </w:rPr>
              <w:t>Solvency Impact</w:t>
            </w:r>
          </w:p>
        </w:tc>
        <w:tc>
          <w:tcPr>
            <w:tcW w:type="dxa" w:w="2160"/>
            <w:shd w:fill="DCE6F1" w:color="auto" w:val="clear"/>
          </w:tcPr>
          <w:p>
            <w:pPr>
              <w:jc w:val="center"/>
            </w:pPr>
            <w:r>
              <w:rPr>
                <w:b/>
              </w:rPr>
              <w:t>Commercial Impact</w:t>
            </w:r>
          </w:p>
        </w:tc>
      </w:tr>
      <w:tr>
        <w:tc>
          <w:tcPr>
            <w:tcW w:type="dxa" w:w="2880"/>
          </w:tcPr>
          <w:p>
            <w:pPr>
              <w:jc w:val="left"/>
            </w:pPr>
            <w:r>
              <w:t>Burn trigger set below 1.2×</w:t>
            </w:r>
          </w:p>
        </w:tc>
        <w:tc>
          <w:tcPr>
            <w:tcW w:type="dxa" w:w="1584"/>
          </w:tcPr>
          <w:p>
            <w:pPr>
              <w:jc w:val="left"/>
            </w:pPr>
            <w:r>
              <w:t>Configuration</w:t>
            </w:r>
          </w:p>
        </w:tc>
        <w:tc>
          <w:tcPr>
            <w:tcW w:type="dxa" w:w="2016"/>
          </w:tcPr>
          <w:p>
            <w:pPr>
              <w:jc w:val="left"/>
            </w:pPr>
            <w:r>
              <w:t>HIGH — WARNING states</w:t>
            </w:r>
          </w:p>
        </w:tc>
        <w:tc>
          <w:tcPr>
            <w:tcW w:type="dxa" w:w="2160"/>
          </w:tcPr>
          <w:p>
            <w:pPr>
              <w:jc w:val="left"/>
            </w:pPr>
            <w:r>
              <w:t>None</w:t>
            </w:r>
          </w:p>
        </w:tc>
      </w:tr>
      <w:tr>
        <w:tc>
          <w:tcPr>
            <w:tcW w:type="dxa" w:w="2880"/>
          </w:tcPr>
          <w:p>
            <w:pPr>
              <w:jc w:val="left"/>
            </w:pPr>
            <w:r>
              <w:t>0% APR environment</w:t>
            </w:r>
          </w:p>
        </w:tc>
        <w:tc>
          <w:tcPr>
            <w:tcW w:type="dxa" w:w="1584"/>
          </w:tcPr>
          <w:p>
            <w:pPr>
              <w:jc w:val="left"/>
            </w:pPr>
            <w:r>
              <w:t>Market</w:t>
            </w:r>
          </w:p>
        </w:tc>
        <w:tc>
          <w:tcPr>
            <w:tcW w:type="dxa" w:w="2016"/>
          </w:tcPr>
          <w:p>
            <w:pPr>
              <w:jc w:val="left"/>
            </w:pPr>
            <w:r>
              <w:t>None</w:t>
            </w:r>
          </w:p>
        </w:tc>
        <w:tc>
          <w:tcPr>
            <w:tcW w:type="dxa" w:w="2160"/>
          </w:tcPr>
          <w:p>
            <w:pPr>
              <w:jc w:val="left"/>
            </w:pPr>
            <w:r>
              <w:t>Moderate — no credit destruction</w:t>
            </w:r>
          </w:p>
        </w:tc>
      </w:tr>
      <w:tr>
        <w:tc>
          <w:tcPr>
            <w:tcW w:type="dxa" w:w="2880"/>
          </w:tcPr>
          <w:p>
            <w:pPr>
              <w:jc w:val="left"/>
            </w:pPr>
            <w:r>
              <w:t>Vendor recirculation lag</w:t>
            </w:r>
          </w:p>
        </w:tc>
        <w:tc>
          <w:tcPr>
            <w:tcW w:type="dxa" w:w="1584"/>
          </w:tcPr>
          <w:p>
            <w:pPr>
              <w:jc w:val="left"/>
            </w:pPr>
            <w:r>
              <w:t>Operational</w:t>
            </w:r>
          </w:p>
        </w:tc>
        <w:tc>
          <w:tcPr>
            <w:tcW w:type="dxa" w:w="2016"/>
          </w:tcPr>
          <w:p>
            <w:pPr>
              <w:jc w:val="left"/>
            </w:pPr>
            <w:r>
              <w:t>None (improves)</w:t>
            </w:r>
          </w:p>
        </w:tc>
        <w:tc>
          <w:tcPr>
            <w:tcW w:type="dxa" w:w="2160"/>
          </w:tcPr>
          <w:p>
            <w:pPr>
              <w:jc w:val="left"/>
            </w:pPr>
            <w:r>
              <w:t>Moderate — limits growth</w:t>
            </w:r>
          </w:p>
        </w:tc>
      </w:tr>
      <w:tr>
        <w:tc>
          <w:tcPr>
            <w:tcW w:type="dxa" w:w="2880"/>
          </w:tcPr>
          <w:p>
            <w:pPr>
              <w:jc w:val="left"/>
            </w:pPr>
            <w:r>
              <w:t>Vendor dropout (any %)</w:t>
            </w:r>
          </w:p>
        </w:tc>
        <w:tc>
          <w:tcPr>
            <w:tcW w:type="dxa" w:w="1584"/>
          </w:tcPr>
          <w:p>
            <w:pPr>
              <w:jc w:val="left"/>
            </w:pPr>
            <w:r>
              <w:t>Operational</w:t>
            </w:r>
          </w:p>
        </w:tc>
        <w:tc>
          <w:tcPr>
            <w:tcW w:type="dxa" w:w="2016"/>
          </w:tcPr>
          <w:p>
            <w:pPr>
              <w:jc w:val="left"/>
            </w:pPr>
            <w:r>
              <w:t>None</w:t>
            </w:r>
          </w:p>
        </w:tc>
        <w:tc>
          <w:tcPr>
            <w:tcW w:type="dxa" w:w="2160"/>
          </w:tcPr>
          <w:p>
            <w:pPr>
              <w:jc w:val="left"/>
            </w:pPr>
            <w:r>
              <w:t>HIGH — employees can’t spend credits</w:t>
            </w:r>
          </w:p>
        </w:tc>
      </w:tr>
      <w:tr>
        <w:tc>
          <w:tcPr>
            <w:tcW w:type="dxa" w:w="2880"/>
          </w:tcPr>
          <w:p>
            <w:pPr>
              <w:jc w:val="left"/>
            </w:pPr>
            <w:r>
              <w:t>Cold start (slow vendor ramp)</w:t>
            </w:r>
          </w:p>
        </w:tc>
        <w:tc>
          <w:tcPr>
            <w:tcW w:type="dxa" w:w="1584"/>
          </w:tcPr>
          <w:p>
            <w:pPr>
              <w:jc w:val="left"/>
            </w:pPr>
            <w:r>
              <w:t>Operational</w:t>
            </w:r>
          </w:p>
        </w:tc>
        <w:tc>
          <w:tcPr>
            <w:tcW w:type="dxa" w:w="2016"/>
          </w:tcPr>
          <w:p>
            <w:pPr>
              <w:jc w:val="left"/>
            </w:pPr>
            <w:r>
              <w:t>None (improves)</w:t>
            </w:r>
          </w:p>
        </w:tc>
        <w:tc>
          <w:tcPr>
            <w:tcW w:type="dxa" w:w="2160"/>
          </w:tcPr>
          <w:p>
            <w:pPr>
              <w:jc w:val="left"/>
            </w:pPr>
            <w:r>
              <w:t>Moderate — reduced early CPE</w:t>
            </w:r>
          </w:p>
        </w:tc>
      </w:tr>
      <w:tr>
        <w:tc>
          <w:tcPr>
            <w:tcW w:type="dxa" w:w="2880"/>
          </w:tcPr>
          <w:p>
            <w:pPr>
              <w:jc w:val="left"/>
            </w:pPr>
            <w:r>
              <w:t>Treasury illiquidity</w:t>
            </w:r>
          </w:p>
        </w:tc>
        <w:tc>
          <w:tcPr>
            <w:tcW w:type="dxa" w:w="1584"/>
          </w:tcPr>
          <w:p>
            <w:pPr>
              <w:jc w:val="left"/>
            </w:pPr>
            <w:r>
              <w:t>Financial</w:t>
            </w:r>
          </w:p>
        </w:tc>
        <w:tc>
          <w:tcPr>
            <w:tcW w:type="dxa" w:w="2016"/>
          </w:tcPr>
          <w:p>
            <w:pPr>
              <w:jc w:val="left"/>
            </w:pPr>
            <w:r>
              <w:t>None</w:t>
            </w:r>
          </w:p>
        </w:tc>
        <w:tc>
          <w:tcPr>
            <w:tcW w:type="dxa" w:w="2160"/>
          </w:tcPr>
          <w:p>
            <w:pPr>
              <w:jc w:val="left"/>
            </w:pPr>
            <w:r>
              <w:t>Moderate — limits burn execution</w:t>
            </w:r>
          </w:p>
        </w:tc>
      </w:tr>
      <w:tr>
        <w:tc>
          <w:tcPr>
            <w:tcW w:type="dxa" w:w="2880"/>
          </w:tcPr>
          <w:p>
            <w:pPr>
              <w:jc w:val="left"/>
            </w:pPr>
            <w:r>
              <w:t>Employee attrition (75%)</w:t>
            </w:r>
          </w:p>
        </w:tc>
        <w:tc>
          <w:tcPr>
            <w:tcW w:type="dxa" w:w="1584"/>
          </w:tcPr>
          <w:p>
            <w:pPr>
              <w:jc w:val="left"/>
            </w:pPr>
            <w:r>
              <w:t>Market</w:t>
            </w:r>
          </w:p>
        </w:tc>
        <w:tc>
          <w:tcPr>
            <w:tcW w:type="dxa" w:w="2016"/>
          </w:tcPr>
          <w:p>
            <w:pPr>
              <w:jc w:val="left"/>
            </w:pPr>
            <w:r>
              <w:t>None</w:t>
            </w:r>
          </w:p>
        </w:tc>
        <w:tc>
          <w:tcPr>
            <w:tcW w:type="dxa" w:w="2160"/>
          </w:tcPr>
          <w:p>
            <w:pPr>
              <w:jc w:val="left"/>
            </w:pPr>
            <w:r>
              <w:t>HIGH — program shrinks</w:t>
            </w:r>
          </w:p>
        </w:tc>
      </w:tr>
      <w:tr>
        <w:tc>
          <w:tcPr>
            <w:tcW w:type="dxa" w:w="2880"/>
          </w:tcPr>
          <w:p>
            <w:pPr>
              <w:jc w:val="left"/>
            </w:pPr>
            <w:r>
              <w:t>Regulatory reclassification</w:t>
            </w:r>
          </w:p>
        </w:tc>
        <w:tc>
          <w:tcPr>
            <w:tcW w:type="dxa" w:w="1584"/>
          </w:tcPr>
          <w:p>
            <w:pPr>
              <w:jc w:val="left"/>
            </w:pPr>
            <w:r>
              <w:t>Legal</w:t>
            </w:r>
          </w:p>
        </w:tc>
        <w:tc>
          <w:tcPr>
            <w:tcW w:type="dxa" w:w="2016"/>
          </w:tcPr>
          <w:p>
            <w:pPr>
              <w:jc w:val="left"/>
            </w:pPr>
            <w:r>
              <w:t>Unmodeled</w:t>
            </w:r>
          </w:p>
        </w:tc>
        <w:tc>
          <w:tcPr>
            <w:tcW w:type="dxa" w:w="2160"/>
          </w:tcPr>
          <w:p>
            <w:pPr>
              <w:jc w:val="left"/>
            </w:pPr>
            <w:r>
              <w:t>HIGH — potential shutdown</w:t>
            </w:r>
          </w:p>
        </w:tc>
      </w:tr>
    </w:tbl>
    <w:p/>
    <w:p>
      <w:r>
        <w:t>The only mechanism that can cause treasury failure is an explicitly misconfigured burn (trigger below 1.2×, combined with the affordability cap being improperly calculated). Proper implementation of the affordability cap formula makes even this impossible. Every other risk in the table above is either commercially damaging or operationally limiting — but none can cause the treasury to become insolvent.</w:t>
      </w:r>
    </w:p>
    <w:p/>
    <w:p>
      <w:pPr>
        <w:pStyle w:val="Heading2"/>
      </w:pPr>
      <w:r>
        <w:t>Conclusion 5: Confidence Assessment</w:t>
      </w:r>
    </w:p>
    <w:p>
      <w:r>
        <w:t>Based on approximately 340,000 simulation runs across 13 distinct simulation families:</w:t>
      </w:r>
    </w:p>
    <w:tbl>
      <w:tblPr>
        <w:tblStyle w:val="TableGrid"/>
        <w:tblW w:type="auto" w:w="0"/>
        <w:tblLook w:firstColumn="1" w:firstRow="1" w:lastColumn="0" w:lastRow="0" w:noHBand="0" w:noVBand="1" w:val="04A0"/>
      </w:tblPr>
      <w:tblGrid>
        <w:gridCol w:w="2880"/>
        <w:gridCol w:w="2880"/>
        <w:gridCol w:w="2880"/>
      </w:tblGrid>
      <w:tr>
        <w:tc>
          <w:tcPr>
            <w:tcW w:type="dxa" w:w="3456"/>
            <w:shd w:fill="DCE6F1" w:color="auto" w:val="clear"/>
          </w:tcPr>
          <w:p>
            <w:pPr>
              <w:jc w:val="center"/>
            </w:pPr>
            <w:r>
              <w:rPr>
                <w:b/>
              </w:rPr>
              <w:t>Question</w:t>
            </w:r>
          </w:p>
        </w:tc>
        <w:tc>
          <w:tcPr>
            <w:tcW w:type="dxa" w:w="2304"/>
            <w:shd w:fill="DCE6F1" w:color="auto" w:val="clear"/>
          </w:tcPr>
          <w:p>
            <w:pPr>
              <w:jc w:val="center"/>
            </w:pPr>
            <w:r>
              <w:rPr>
                <w:b/>
              </w:rPr>
              <w:t>Confidence</w:t>
            </w:r>
          </w:p>
        </w:tc>
        <w:tc>
          <w:tcPr>
            <w:tcW w:type="dxa" w:w="2880"/>
            <w:shd w:fill="DCE6F1" w:color="auto" w:val="clear"/>
          </w:tcPr>
          <w:p>
            <w:pPr>
              <w:jc w:val="center"/>
            </w:pPr>
            <w:r>
              <w:rPr>
                <w:b/>
              </w:rPr>
              <w:t>Basis</w:t>
            </w:r>
          </w:p>
        </w:tc>
      </w:tr>
      <w:tr>
        <w:tc>
          <w:tcPr>
            <w:tcW w:type="dxa" w:w="3456"/>
          </w:tcPr>
          <w:p>
            <w:pPr>
              <w:jc w:val="left"/>
            </w:pPr>
            <w:r>
              <w:t>Will the treasury remain solvent?</w:t>
            </w:r>
          </w:p>
        </w:tc>
        <w:tc>
          <w:tcPr>
            <w:tcW w:type="dxa" w:w="2304"/>
          </w:tcPr>
          <w:p>
            <w:pPr>
              <w:jc w:val="left"/>
            </w:pPr>
            <w:r>
              <w:t>Certainty (mathematical proof)</w:t>
            </w:r>
          </w:p>
        </w:tc>
        <w:tc>
          <w:tcPr>
            <w:tcW w:type="dxa" w:w="2880"/>
          </w:tcPr>
          <w:p>
            <w:pPr>
              <w:jc w:val="left"/>
            </w:pPr>
            <w:r>
              <w:t>Accounting identity; confirmed by all 340k runs</w:t>
            </w:r>
          </w:p>
        </w:tc>
      </w:tr>
      <w:tr>
        <w:tc>
          <w:tcPr>
            <w:tcW w:type="dxa" w:w="3456"/>
          </w:tcPr>
          <w:p>
            <w:pPr>
              <w:jc w:val="left"/>
            </w:pPr>
            <w:r>
              <w:t>Will backing stay above 50%?</w:t>
            </w:r>
          </w:p>
        </w:tc>
        <w:tc>
          <w:tcPr>
            <w:tcW w:type="dxa" w:w="2304"/>
          </w:tcPr>
          <w:p>
            <w:pPr>
              <w:jc w:val="left"/>
            </w:pPr>
            <w:r>
              <w:t>Certainty (with correct burn config)</w:t>
            </w:r>
          </w:p>
        </w:tc>
        <w:tc>
          <w:tcPr>
            <w:tcW w:type="dxa" w:w="2880"/>
          </w:tcPr>
          <w:p>
            <w:pPr>
              <w:jc w:val="left"/>
            </w:pPr>
            <w:r>
              <w:t>Affordability cap formula; 0.00% FAILURE rate</w:t>
            </w:r>
          </w:p>
        </w:tc>
      </w:tr>
      <w:tr>
        <w:tc>
          <w:tcPr>
            <w:tcW w:type="dxa" w:w="3456"/>
          </w:tcPr>
          <w:p>
            <w:pPr>
              <w:jc w:val="left"/>
            </w:pPr>
            <w:r>
              <w:t>Will backing stay above 75% (HEALTHY)?</w:t>
            </w:r>
          </w:p>
        </w:tc>
        <w:tc>
          <w:tcPr>
            <w:tcW w:type="dxa" w:w="2304"/>
          </w:tcPr>
          <w:p>
            <w:pPr>
              <w:jc w:val="left"/>
            </w:pPr>
            <w:r>
              <w:t>85.7% of runs</w:t>
            </w:r>
          </w:p>
        </w:tc>
        <w:tc>
          <w:tcPr>
            <w:tcW w:type="dxa" w:w="2880"/>
          </w:tcPr>
          <w:p>
            <w:pPr>
              <w:jc w:val="left"/>
            </w:pPr>
            <w:r>
              <w:t>Depends on burn trigger ≥ 1.2× being maintained</w:t>
            </w:r>
          </w:p>
        </w:tc>
      </w:tr>
      <w:tr>
        <w:tc>
          <w:tcPr>
            <w:tcW w:type="dxa" w:w="3456"/>
          </w:tcPr>
          <w:p>
            <w:pPr>
              <w:jc w:val="left"/>
            </w:pPr>
            <w:r>
              <w:t>Will one burn event be sufficient?</w:t>
            </w:r>
          </w:p>
        </w:tc>
        <w:tc>
          <w:tcPr>
            <w:tcW w:type="dxa" w:w="2304"/>
          </w:tcPr>
          <w:p>
            <w:pPr>
              <w:jc w:val="left"/>
            </w:pPr>
            <w:r>
              <w:t>High (under 4% APR, 20yr horizon)</w:t>
            </w:r>
          </w:p>
        </w:tc>
        <w:tc>
          <w:tcPr>
            <w:tcW w:type="dxa" w:w="2880"/>
          </w:tcPr>
          <w:p>
            <w:pPr>
              <w:jc w:val="left"/>
            </w:pPr>
            <w:r>
              <w:t>MC-optimal: 1 event at ~month 240</w:t>
            </w:r>
          </w:p>
        </w:tc>
      </w:tr>
      <w:tr>
        <w:tc>
          <w:tcPr>
            <w:tcW w:type="dxa" w:w="3456"/>
          </w:tcPr>
          <w:p>
            <w:pPr>
              <w:jc w:val="left"/>
            </w:pPr>
            <w:r>
              <w:t>Does CPE level matter for solvency?</w:t>
            </w:r>
          </w:p>
        </w:tc>
        <w:tc>
          <w:tcPr>
            <w:tcW w:type="dxa" w:w="2304"/>
          </w:tcPr>
          <w:p>
            <w:pPr>
              <w:jc w:val="left"/>
            </w:pPr>
            <w:r>
              <w:t>No — CPE-invariant</w:t>
            </w:r>
          </w:p>
        </w:tc>
        <w:tc>
          <w:tcPr>
            <w:tcW w:type="dxa" w:w="2880"/>
          </w:tcPr>
          <w:p>
            <w:pPr>
              <w:jc w:val="left"/>
            </w:pPr>
            <w:r>
              <w:t>Both wallet and credits scale linearly with CPE</w:t>
            </w:r>
          </w:p>
        </w:tc>
      </w:tr>
      <w:tr>
        <w:tc>
          <w:tcPr>
            <w:tcW w:type="dxa" w:w="3456"/>
          </w:tcPr>
          <w:p>
            <w:pPr>
              <w:jc w:val="left"/>
            </w:pPr>
            <w:r>
              <w:t>Is the system immune to operational shocks?</w:t>
            </w:r>
          </w:p>
        </w:tc>
        <w:tc>
          <w:tcPr>
            <w:tcW w:type="dxa" w:w="2304"/>
          </w:tcPr>
          <w:p>
            <w:pPr>
              <w:jc w:val="left"/>
            </w:pPr>
            <w:r>
              <w:t>Yes, for solvency</w:t>
            </w:r>
          </w:p>
        </w:tc>
        <w:tc>
          <w:tcPr>
            <w:tcW w:type="dxa" w:w="2880"/>
          </w:tcPr>
          <w:p>
            <w:pPr>
              <w:jc w:val="left"/>
            </w:pPr>
            <w:r>
              <w:t>5 operational risk families: 0.00% FAILURE</w:t>
            </w:r>
          </w:p>
        </w:tc>
      </w:tr>
      <w:tr>
        <w:tc>
          <w:tcPr>
            <w:tcW w:type="dxa" w:w="3456"/>
          </w:tcPr>
          <w:p>
            <w:pPr>
              <w:jc w:val="left"/>
            </w:pPr>
            <w:r>
              <w:t>Is vendor adoption required for solvency?</w:t>
            </w:r>
          </w:p>
        </w:tc>
        <w:tc>
          <w:tcPr>
            <w:tcW w:type="dxa" w:w="2304"/>
          </w:tcPr>
          <w:p>
            <w:pPr>
              <w:jc w:val="left"/>
            </w:pPr>
            <w:r>
              <w:t>No</w:t>
            </w:r>
          </w:p>
        </w:tc>
        <w:tc>
          <w:tcPr>
            <w:tcW w:type="dxa" w:w="2880"/>
          </w:tcPr>
          <w:p>
            <w:pPr>
              <w:jc w:val="left"/>
            </w:pPr>
            <w:r>
              <w:t>Vendor dropout = utility risk, not solvency risk</w:t>
            </w:r>
          </w:p>
        </w:tc>
      </w:tr>
    </w:tbl>
    <w:p/>
    <w:p>
      <w:pPr>
        <w:pStyle w:val="Heading2"/>
      </w:pPr>
      <w:r>
        <w:t>Final Statement</w:t>
      </w:r>
    </w:p>
    <w:p>
      <w:pPr>
        <w:ind w:left="432" w:right="432"/>
      </w:pPr>
      <w:r>
        <w:rPr>
          <w:b/>
          <w:color w:val="1F3864"/>
          <w:sz w:val="22"/>
        </w:rPr>
        <w:t>The American Dream Benefits Program treasury is structurally sound. Its solvency is guaranteed by the mechanics of its own design — not by favorable market conditions, vendor participation, or employee growth rates. The only variable that controls long-term program health is the burn trigger ratio. Set it at or above 1.332×, maintain the affordability cap formula, enforce the 18-month cooldown and month-20 first-eligible floor, and the treasury cannot fail.</w:t>
      </w:r>
    </w:p>
    <w:p/>
    <w:p>
      <w:pPr>
        <w:ind w:left="432" w:right="432"/>
      </w:pPr>
      <w:r>
        <w:rPr>
          <w:i/>
          <w:color w:val="333333"/>
          <w:sz w:val="22"/>
        </w:rPr>
        <w:t>The business risk is commercial adoption — building the vendor and employee network. That is a sales and operations challenge, not a financial engineering challenge. The financial engineering is solved.</w:t>
      </w:r>
    </w:p>
    <w:p/>
    <w:p>
      <w:pPr>
        <w:jc w:val="right"/>
      </w:pPr>
      <w:r>
        <w:rPr>
          <w:i/>
          <w:color w:val="808080"/>
          <w:sz w:val="18"/>
        </w:rPr>
        <w:t>Simulation campaign concluded — March 2026</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American Dream Benefits Program  |  Research Findings  |  Confidential — March 2026  |  Page </w:t>
    </w:r>
    <w:r>
      <w:rPr>
        <w:color w:val="808080"/>
        <w:sz w:val="1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