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F3864"/>
        </w:rPr>
        <w:t>ADBP Model Research Findings</w:t>
      </w:r>
    </w:p>
    <w:p>
      <w:pPr>
        <w:jc w:val="center"/>
      </w:pPr>
      <w:r>
        <w:rPr>
          <w:i/>
          <w:color w:val="606060"/>
          <w:sz w:val="22"/>
        </w:rPr>
        <w:t>Monte Carlo Campaign  —  March 2026</w:t>
      </w:r>
    </w:p>
    <w:p/>
    <w:p>
      <w:pPr>
        <w:pStyle w:val="Heading1"/>
      </w:pPr>
      <w:r>
        <w:t>1. Campaign Overview</w:t>
      </w:r>
    </w:p>
    <w:p>
      <w:pPr>
        <w:pStyle w:val="ListBullet"/>
      </w:pPr>
      <w:r>
        <w:rPr>
          <w:b/>
        </w:rPr>
        <w:t xml:space="preserve">Simulation: </w:t>
      </w:r>
      <w:r>
        <w:t>300,000 runs (3 seeds × 100,000 runs × 240 months)</w:t>
      </w:r>
    </w:p>
    <w:p>
      <w:pPr>
        <w:pStyle w:val="ListBullet"/>
      </w:pPr>
      <w:r>
        <w:rPr>
          <w:b/>
        </w:rPr>
        <w:t xml:space="preserve">Seeds: </w:t>
      </w:r>
      <w:r>
        <w:t>42, 99, 123</w:t>
      </w:r>
    </w:p>
    <w:p>
      <w:pPr>
        <w:pStyle w:val="ListBullet"/>
      </w:pPr>
      <w:r>
        <w:rPr>
          <w:b/>
        </w:rPr>
        <w:t xml:space="preserve">Growth model: </w:t>
      </w:r>
      <w:r>
        <w:t>N(mean=1,000, sigma=300) employees per month (stochastic)</w:t>
      </w:r>
    </w:p>
    <w:p>
      <w:pPr>
        <w:pStyle w:val="ListBullet"/>
      </w:pPr>
      <w:r>
        <w:rPr>
          <w:b/>
        </w:rPr>
        <w:t xml:space="preserve">Search space: </w:t>
      </w:r>
      <w:r>
        <w:t>trigger_ratio [0.9–1.6], burn_pct [2–35%], cooldown [3–24 months], first_eligible [6–24 months]</w:t>
      </w:r>
    </w:p>
    <w:p/>
    <w:p>
      <w:pPr>
        <w:pStyle w:val="Heading1"/>
      </w:pPr>
      <w:r>
        <w:t>2. Outcome Distribution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Outcome</w:t>
            </w:r>
          </w:p>
        </w:tc>
        <w:tc>
          <w:tcPr>
            <w:tcW w:type="dxa" w:w="288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Count</w:t>
            </w:r>
          </w:p>
        </w:tc>
        <w:tc>
          <w:tcPr>
            <w:tcW w:type="dxa" w:w="288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Percentage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HEALTHY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257,034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85.68%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WARNING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42,966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14.32%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FAILURE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2880"/>
          </w:tcPr>
          <w:p>
            <w:pPr>
              <w:jc w:val="left"/>
            </w:pPr>
            <w:r>
              <w:t>0.00%</w:t>
            </w:r>
          </w:p>
        </w:tc>
      </w:tr>
    </w:tbl>
    <w:p/>
    <w:p>
      <w:r>
        <w:rPr>
          <w:i/>
        </w:rPr>
        <w:t>Seed stability: 85.63% – 85.75% HEALTHY across all three seeds (0.12 percentage point spread). The campaign is fully converged.</w:t>
      </w:r>
    </w:p>
    <w:p/>
    <w:p>
      <w:pPr>
        <w:pStyle w:val="Heading1"/>
      </w:pPr>
      <w:r>
        <w:t>3. MC-Optimal Strategy</w:t>
      </w:r>
    </w:p>
    <w:p>
      <w:r>
        <w:t>Best overall score (highest combined HEALTHY rate + burn fraction + stability):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type="dxa" w:w="576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Trigger ratio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1.332× (burn when backing ≥ 133.2%)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Burn size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34.9% of outstanding credits per event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Minimum cooldown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18 months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First eligible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Month 20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Score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3.1388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Min backing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97.3%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Final backing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97.3%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Burn events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1</w:t>
            </w:r>
          </w:p>
        </w:tc>
      </w:tr>
      <w:tr>
        <w:tc>
          <w:tcPr>
            <w:tcW w:type="dxa" w:w="3600"/>
          </w:tcPr>
          <w:p>
            <w:pPr>
              <w:jc w:val="left"/>
            </w:pPr>
            <w:r>
              <w:t>Credits destroyed</w:t>
            </w:r>
          </w:p>
        </w:tc>
        <w:tc>
          <w:tcPr>
            <w:tcW w:type="dxa" w:w="5760"/>
          </w:tcPr>
          <w:p>
            <w:pPr>
              <w:jc w:val="left"/>
            </w:pPr>
            <w:r>
              <w:t>34.9% of all credits ever minted</w:t>
            </w:r>
          </w:p>
        </w:tc>
      </w:tr>
    </w:tbl>
    <w:p/>
    <w:p>
      <w:pPr>
        <w:pStyle w:val="Heading1"/>
      </w:pPr>
      <w:r>
        <w:t>4. Structural Solvency Guarantee</w:t>
      </w:r>
    </w:p>
    <w:p>
      <w:r>
        <w:rPr>
          <w:b/>
        </w:rPr>
        <w:t xml:space="preserve">Finding: </w:t>
      </w:r>
      <w:r>
        <w:t>Treasury FAILURE (backing &lt; 50%) is mathematically impossible from market conditions alone.</w:t>
      </w:r>
    </w:p>
    <w:p>
      <w:r>
        <w:rPr>
          <w:b/>
          <w:color w:val="2E74B5"/>
        </w:rPr>
        <w:t xml:space="preserve">Proof: </w:t>
      </w:r>
      <w:r>
        <w:rPr>
          <w:rFonts w:ascii="Courier New" w:hAnsi="Courier New"/>
        </w:rPr>
        <w:t>treasury_wallet = Σ(inflows) + interest ≥ Σ(credits_minted × $1.00) = total_credits_outstanding</w:t>
      </w:r>
    </w:p>
    <w:p>
      <w:r>
        <w:t>Because every credit minted adds exactly $1.00 to the treasury, and interest only adds further, the backing ratio cannot fall below 100% without an explicit burn event.</w:t>
      </w:r>
    </w:p>
    <w:p>
      <w:r>
        <w:t>Stress tests confirming this:</w:t>
      </w:r>
    </w:p>
    <w:p>
      <w:pPr>
        <w:pStyle w:val="ListBullet"/>
      </w:pPr>
      <w:r>
        <w:t>Zero interest rate: min backing = 100.0%</w:t>
      </w:r>
    </w:p>
    <w:p>
      <w:pPr>
        <w:pStyle w:val="ListBullet"/>
      </w:pPr>
      <w:r>
        <w:t>75% employee loss (month 6): min backing = 100.0%</w:t>
      </w:r>
    </w:p>
    <w:p>
      <w:pPr>
        <w:pStyle w:val="ListBullet"/>
      </w:pPr>
      <w:r>
        <w:t>Extreme credits per employee (100 CPE): min backing = 100.0%</w:t>
      </w:r>
    </w:p>
    <w:p>
      <w:pPr>
        <w:pStyle w:val="ListBullet"/>
      </w:pPr>
      <w:r>
        <w:t>All adversity combined: min backing = 100.0%</w:t>
      </w:r>
    </w:p>
    <w:p>
      <w:r>
        <w:t>The affordability cap formula (max_burnable = (wallet − 0.50 × total_credits) / 1.50) mathematically prevents post-burn backing from dropping below 50%.</w:t>
      </w:r>
    </w:p>
    <w:p>
      <w:r>
        <w:rPr>
          <w:b/>
        </w:rPr>
        <w:t xml:space="preserve">Implication: </w:t>
      </w:r>
      <w:r>
        <w:t>The 0.00% FAILURE rate across 300,000 runs is not luck — it is guaranteed by the system’s accounting identity.</w:t>
      </w:r>
    </w:p>
    <w:p/>
    <w:p>
      <w:pPr>
        <w:pStyle w:val="Heading1"/>
      </w:pPr>
      <w:r>
        <w:t>5. Burn Frequency Analysis</w:t>
      </w:r>
    </w:p>
    <w:p>
      <w:r>
        <w:rPr>
          <w:b/>
        </w:rPr>
        <w:t xml:space="preserve">Finding: </w:t>
      </w:r>
      <w:r>
        <w:t>Yearly burns are viable and 100% HEALTHY, but not optimal.</w:t>
      </w:r>
    </w:p>
    <w:p>
      <w:r>
        <w:t>With trigger=1.0× and cooldown=12 months, burns fire annually from first_eligible month onward. Conservative strategies (2% burn size, many events) achieve 100% HEALTHY rate.</w:t>
      </w:r>
    </w:p>
    <w:p>
      <w:r>
        <w:t>Why the MC-optimal strategy uses one large late burn instead:</w:t>
      </w:r>
    </w:p>
    <w:p>
      <w:pPr>
        <w:pStyle w:val="ListBullet"/>
      </w:pPr>
      <w:r>
        <w:t>One large burn at backing ~133% destroys more total obligation than many small burns</w:t>
      </w:r>
    </w:p>
    <w:p>
      <w:pPr>
        <w:pStyle w:val="ListBullet"/>
      </w:pPr>
      <w:r>
        <w:t>Small frequent burns at low trigger ratios produce WARNING states (50–74% backing)</w:t>
      </w:r>
    </w:p>
    <w:p>
      <w:pPr>
        <w:pStyle w:val="ListBullet"/>
      </w:pPr>
      <w:r>
        <w:t>The scoring function rewards both burn fraction and minimum backing — one late large burn maximizes both</w:t>
      </w:r>
    </w:p>
    <w:p>
      <w:r>
        <w:t>HEALTHY rate by trigger ratio band: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Trigger Band</w:t>
            </w:r>
          </w:p>
        </w:tc>
        <w:tc>
          <w:tcPr>
            <w:tcW w:type="dxa" w:w="648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HEALTHY Rate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0.9× – 1.0×</w:t>
            </w:r>
          </w:p>
        </w:tc>
        <w:tc>
          <w:tcPr>
            <w:tcW w:type="dxa" w:w="6480"/>
          </w:tcPr>
          <w:p>
            <w:pPr>
              <w:jc w:val="left"/>
            </w:pPr>
            <w:r>
              <w:t>42.49%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1.0× – 1.1×</w:t>
            </w:r>
          </w:p>
        </w:tc>
        <w:tc>
          <w:tcPr>
            <w:tcW w:type="dxa" w:w="6480"/>
          </w:tcPr>
          <w:p>
            <w:pPr>
              <w:jc w:val="left"/>
            </w:pPr>
            <w:r>
              <w:t>66.29%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1.1× – 1.2×</w:t>
            </w:r>
          </w:p>
        </w:tc>
        <w:tc>
          <w:tcPr>
            <w:tcW w:type="dxa" w:w="6480"/>
          </w:tcPr>
          <w:p>
            <w:pPr>
              <w:jc w:val="left"/>
            </w:pPr>
            <w:r>
              <w:t>90.76%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1.2× – 1.3×</w:t>
            </w:r>
          </w:p>
        </w:tc>
        <w:tc>
          <w:tcPr>
            <w:tcW w:type="dxa" w:w="6480"/>
          </w:tcPr>
          <w:p>
            <w:pPr>
              <w:jc w:val="left"/>
            </w:pPr>
            <w:r>
              <w:t>100.00%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t>1.3× – 1.6×</w:t>
            </w:r>
          </w:p>
        </w:tc>
        <w:tc>
          <w:tcPr>
            <w:tcW w:type="dxa" w:w="6480"/>
          </w:tcPr>
          <w:p>
            <w:pPr>
              <w:jc w:val="left"/>
            </w:pPr>
            <w:r>
              <w:t>100.00% (zero burn activity above 1.4×)</w:t>
            </w:r>
          </w:p>
        </w:tc>
      </w:tr>
    </w:tbl>
    <w:p/>
    <w:p>
      <w:pPr>
        <w:pStyle w:val="Heading1"/>
      </w:pPr>
      <w:r>
        <w:t>6. Credit Expiry Mechanics</w:t>
      </w:r>
    </w:p>
    <w:p>
      <w:r>
        <w:t>Research into analogous closed-loop programs (loyalty, commuter benefits, corporate perks, gift cards):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Program Type</w:t>
            </w:r>
          </w:p>
        </w:tc>
        <w:tc>
          <w:tcPr>
            <w:tcW w:type="dxa" w:w="2592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Typical Window</w:t>
            </w:r>
          </w:p>
        </w:tc>
        <w:tc>
          <w:tcPr>
            <w:tcW w:type="dxa" w:w="360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Notes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t>Gift cards (CARD Act)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t>5 years minimum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t>Statutory floor for consumer protection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t>Closed-loop corporate perks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t>24–36 months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t>Standard practice; legally defensible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t>Loyalty / rewards points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t>12–24 months inactivity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t>Forfeiture on inactivity, not calendar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t>Commuter / FSA benefits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t>Monthly rolling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t>Strict regulatory use-it-or-lose-it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t>ADBP (recommended)</w:t>
            </w:r>
          </w:p>
        </w:tc>
        <w:tc>
          <w:tcPr>
            <w:tcW w:type="dxa" w:w="2592"/>
          </w:tcPr>
          <w:p>
            <w:pPr>
              <w:jc w:val="left"/>
            </w:pPr>
            <w:r>
              <w:t>36 months</w:t>
            </w:r>
          </w:p>
        </w:tc>
        <w:tc>
          <w:tcPr>
            <w:tcW w:type="dxa" w:w="3600"/>
          </w:tcPr>
          <w:p>
            <w:pPr>
              <w:jc w:val="left"/>
            </w:pPr>
            <w:r>
              <w:t>Generous, consumer-friendly</w:t>
            </w:r>
          </w:p>
        </w:tc>
      </w:tr>
    </w:tbl>
    <w:p/>
    <w:p>
      <w:r>
        <w:t>At 12× annual velocity, research baseline for annual breakage is 5–7%.</w:t>
      </w:r>
    </w:p>
    <w:p>
      <w:r>
        <w:rPr>
          <w:b/>
        </w:rPr>
        <w:t xml:space="preserve">Expiry economics: </w:t>
      </w:r>
      <w:r>
        <w:t>Credits that expire cost $0 to the treasury (the $1.00 inflow was already collected; the $2.00 obligation simply terminates). This makes expiry strictly more treasury-efficient than burns ($0/credit vs $2/credit).</w:t>
      </w:r>
    </w:p>
    <w:p>
      <w:r>
        <w:t>Key simulation results from expiry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4032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Scenario</w:t>
            </w:r>
          </w:p>
        </w:tc>
        <w:tc>
          <w:tcPr>
            <w:tcW w:type="dxa" w:w="1008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Burns</w:t>
            </w:r>
          </w:p>
        </w:tc>
        <w:tc>
          <w:tcPr>
            <w:tcW w:type="dxa" w:w="216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Credits Destroyed</w:t>
            </w:r>
          </w:p>
        </w:tc>
        <w:tc>
          <w:tcPr>
            <w:tcW w:type="dxa" w:w="2160"/>
            <w:shd w:fill="DCE6F1" w:color="auto" w:val="clear"/>
          </w:tcPr>
          <w:p>
            <w:pPr>
              <w:jc w:val="center"/>
            </w:pPr>
            <w:r>
              <w:rPr>
                <w:b/>
              </w:rPr>
              <w:t>Final Backing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t>Baseline (burns only)</w:t>
            </w:r>
          </w:p>
        </w:tc>
        <w:tc>
          <w:tcPr>
            <w:tcW w:type="dxa" w:w="1008"/>
          </w:tcPr>
          <w:p>
            <w:pPr>
              <w:jc w:val="left"/>
            </w:pPr>
            <w:r>
              <w:t>1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30.2%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77.7% HEALTHY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t>36mo expiry + 6% breakage + burns</w:t>
            </w:r>
          </w:p>
        </w:tc>
        <w:tc>
          <w:tcPr>
            <w:tcW w:type="dxa" w:w="1008"/>
          </w:tcPr>
          <w:p>
            <w:pPr>
              <w:jc w:val="left"/>
            </w:pPr>
            <w:r>
              <w:t>5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66.4%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99.1% HEALTHY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t>No-burn + 24mo + 10% breakage</w:t>
            </w:r>
          </w:p>
        </w:tc>
        <w:tc>
          <w:tcPr>
            <w:tcW w:type="dxa" w:w="1008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67.5%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352.9% (over-collateralized)</w:t>
            </w:r>
          </w:p>
        </w:tc>
      </w:tr>
      <w:tr>
        <w:tc>
          <w:tcPr>
            <w:tcW w:type="dxa" w:w="4032"/>
          </w:tcPr>
          <w:p>
            <w:pPr>
              <w:jc w:val="left"/>
            </w:pPr>
            <w:r>
              <w:t>No-burn + 36mo + 6% breakage</w:t>
            </w:r>
          </w:p>
        </w:tc>
        <w:tc>
          <w:tcPr>
            <w:tcW w:type="dxa" w:w="1008"/>
          </w:tcPr>
          <w:p>
            <w:pPr>
              <w:jc w:val="left"/>
            </w:pPr>
            <w:r>
              <w:t>0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37.1%</w:t>
            </w:r>
          </w:p>
        </w:tc>
        <w:tc>
          <w:tcPr>
            <w:tcW w:type="dxa" w:w="2160"/>
          </w:tcPr>
          <w:p>
            <w:pPr>
              <w:jc w:val="left"/>
            </w:pPr>
            <w:r>
              <w:t>498.2% (over-collateralized)</w:t>
            </w:r>
          </w:p>
        </w:tc>
      </w:tr>
    </w:tbl>
    <w:p/>
    <w:p>
      <w:r>
        <w:rPr>
          <w:i/>
        </w:rPr>
        <w:t>Note: No-burn + expiry produces extreme over-collateralization. Expiry alone is not a substitute for burns — it accelerates backing ratio growth, which then requires burns to rebalance.</w:t>
      </w:r>
    </w:p>
    <w:p/>
    <w:p>
      <w:pPr>
        <w:pStyle w:val="Heading1"/>
      </w:pPr>
      <w:r>
        <w:t>7. CPE Invariance</w:t>
      </w:r>
    </w:p>
    <w:p>
      <w:r>
        <w:rPr>
          <w:b/>
        </w:rPr>
        <w:t xml:space="preserve">Finding: </w:t>
      </w:r>
      <w:r>
        <w:t>Credits-per-employee (CPE) does not affect the backing ratio.</w:t>
      </w:r>
    </w:p>
    <w:p>
      <w:r>
        <w:t>Both treasury_wallet and total_credits scale linearly with CPE, so the ratio is CPE-invariant. A program with 10 CPE and a program with 5,000 CPE produce identical backing ratios under identical burn strategies.</w:t>
      </w:r>
    </w:p>
    <w:p/>
    <w:p>
      <w:pPr>
        <w:pStyle w:val="Heading1"/>
      </w:pPr>
      <w:r>
        <w:t>8. Post-Burn Adversity</w:t>
      </w:r>
    </w:p>
    <w:p>
      <w:r>
        <w:rPr>
          <w:b/>
        </w:rPr>
        <w:t xml:space="preserve">Finding: </w:t>
      </w:r>
      <w:r>
        <w:t>The burn event itself is always the minimum backing point. Subsequent adverse conditions cannot reduce backing further.</w:t>
      </w:r>
    </w:p>
    <w:p>
      <w:r>
        <w:t>After a burn, any new credit minted adds $1.00 to the wallet and $1.00 to outstanding credits. The structural solvency guarantee applies from that point forward. Post-burn conditions (zero interest, negative growth) cannot push backing lower.</w:t>
      </w:r>
    </w:p>
    <w:p/>
    <w:p>
      <w:pPr>
        <w:pStyle w:val="Heading1"/>
      </w:pPr>
      <w:r>
        <w:t>9. Recommended Parameters</w:t>
      </w:r>
    </w:p>
    <w:p>
      <w:r>
        <w:t>Based on 300,000-run MC campaign over 240 months:</w:t>
      </w:r>
    </w:p>
    <w:p>
      <w:pPr>
        <w:pStyle w:val="ListBullet"/>
      </w:pPr>
      <w:r>
        <w:t>Trigger: backing ≥ 133.2%</w:t>
      </w:r>
    </w:p>
    <w:p>
      <w:pPr>
        <w:pStyle w:val="ListBullet"/>
      </w:pPr>
      <w:r>
        <w:t>Burn size: 34.9% of outstanding credits</w:t>
      </w:r>
    </w:p>
    <w:p>
      <w:pPr>
        <w:pStyle w:val="ListBullet"/>
      </w:pPr>
      <w:r>
        <w:t>Cooldown: 18 months minimum between burns</w:t>
      </w:r>
    </w:p>
    <w:p>
      <w:pPr>
        <w:pStyle w:val="ListBullet"/>
      </w:pPr>
      <w:r>
        <w:t>First eligible: Month 20 (ramp-up protection)</w:t>
      </w:r>
    </w:p>
    <w:p>
      <w:pPr>
        <w:pStyle w:val="ListBullet"/>
      </w:pPr>
      <w:r>
        <w:t>Credit expiry window: 36 months</w:t>
      </w:r>
    </w:p>
    <w:p>
      <w:pPr>
        <w:pStyle w:val="ListBullet"/>
      </w:pPr>
      <w:r>
        <w:t>Annual breakage target: 5–7%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American Dream Benefits Program  |  Research Findings  |  Confidential — March 2026  |  Page </w:t>
    </w:r>
    <w:r>
      <w:rPr>
        <w:color w:val="808080"/>
        <w:sz w:val="18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4B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