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C63" w:rsidRDefault="00AE1C63" w:rsidP="00043BF6">
      <w:pPr>
        <w:spacing w:line="480" w:lineRule="auto"/>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AE1C63" w:rsidRPr="008D3596" w:rsidRDefault="00AE1C63" w:rsidP="00043BF6">
      <w:pPr>
        <w:spacing w:line="480" w:lineRule="auto"/>
        <w:jc w:val="center"/>
        <w:rPr>
          <w:rFonts w:ascii="Times New Roman" w:hAnsi="Times New Roman" w:cs="Times New Roman"/>
          <w:b/>
          <w:sz w:val="24"/>
          <w:szCs w:val="24"/>
        </w:rPr>
      </w:pPr>
      <w:r w:rsidRPr="008D3596">
        <w:rPr>
          <w:rFonts w:ascii="Times New Roman" w:hAnsi="Times New Roman" w:cs="Times New Roman"/>
          <w:b/>
          <w:sz w:val="24"/>
          <w:szCs w:val="24"/>
        </w:rPr>
        <w:t>Fundamental Analysis</w:t>
      </w:r>
    </w:p>
    <w:p w:rsidR="00AE1C63" w:rsidRPr="008D3596" w:rsidRDefault="008E5977" w:rsidP="00043BF6">
      <w:pPr>
        <w:spacing w:line="480" w:lineRule="auto"/>
        <w:jc w:val="center"/>
        <w:rPr>
          <w:rFonts w:ascii="Times New Roman" w:hAnsi="Times New Roman" w:cs="Times New Roman"/>
          <w:b/>
          <w:sz w:val="24"/>
          <w:szCs w:val="24"/>
        </w:rPr>
      </w:pPr>
      <w:r w:rsidRPr="008D3596">
        <w:rPr>
          <w:rFonts w:ascii="Times New Roman" w:hAnsi="Times New Roman" w:cs="Times New Roman"/>
          <w:b/>
          <w:sz w:val="24"/>
          <w:szCs w:val="24"/>
        </w:rPr>
        <w:t>(</w:t>
      </w:r>
      <w:r w:rsidR="00AE1C63" w:rsidRPr="008D3596">
        <w:rPr>
          <w:rFonts w:ascii="Times New Roman" w:hAnsi="Times New Roman" w:cs="Times New Roman"/>
          <w:b/>
          <w:sz w:val="24"/>
          <w:szCs w:val="24"/>
        </w:rPr>
        <w:t>ACCT90002</w:t>
      </w:r>
      <w:r w:rsidRPr="008D3596">
        <w:rPr>
          <w:rFonts w:ascii="Times New Roman" w:hAnsi="Times New Roman" w:cs="Times New Roman"/>
          <w:b/>
          <w:sz w:val="24"/>
          <w:szCs w:val="24"/>
        </w:rPr>
        <w:t>)</w:t>
      </w:r>
    </w:p>
    <w:p w:rsidR="008E5977" w:rsidRPr="008D3596" w:rsidRDefault="008E5977" w:rsidP="00043BF6">
      <w:pPr>
        <w:spacing w:line="480" w:lineRule="auto"/>
        <w:jc w:val="center"/>
        <w:rPr>
          <w:rFonts w:ascii="Times New Roman" w:hAnsi="Times New Roman" w:cs="Times New Roman"/>
          <w:b/>
          <w:sz w:val="24"/>
          <w:szCs w:val="24"/>
        </w:rPr>
      </w:pPr>
      <w:r w:rsidRPr="008D3596">
        <w:rPr>
          <w:rFonts w:ascii="Times New Roman" w:hAnsi="Times New Roman" w:cs="Times New Roman"/>
          <w:b/>
          <w:sz w:val="24"/>
          <w:szCs w:val="24"/>
        </w:rPr>
        <w:t>(Name)</w:t>
      </w:r>
    </w:p>
    <w:p w:rsidR="008E5977" w:rsidRPr="008D3596" w:rsidRDefault="008E5977" w:rsidP="00043BF6">
      <w:pPr>
        <w:spacing w:line="480" w:lineRule="auto"/>
        <w:jc w:val="center"/>
        <w:rPr>
          <w:rFonts w:ascii="Times New Roman" w:hAnsi="Times New Roman" w:cs="Times New Roman"/>
          <w:b/>
          <w:sz w:val="24"/>
          <w:szCs w:val="24"/>
        </w:rPr>
      </w:pPr>
      <w:r w:rsidRPr="008D3596">
        <w:rPr>
          <w:rFonts w:ascii="Times New Roman" w:hAnsi="Times New Roman" w:cs="Times New Roman"/>
          <w:b/>
          <w:sz w:val="24"/>
          <w:szCs w:val="24"/>
        </w:rPr>
        <w:t xml:space="preserve">(Instutuion) </w:t>
      </w:r>
    </w:p>
    <w:p w:rsidR="008E5977" w:rsidRPr="008D3596" w:rsidRDefault="008E5977" w:rsidP="00043BF6">
      <w:pPr>
        <w:spacing w:line="480" w:lineRule="auto"/>
        <w:jc w:val="center"/>
        <w:rPr>
          <w:rFonts w:ascii="Times New Roman" w:hAnsi="Times New Roman" w:cs="Times New Roman"/>
          <w:b/>
          <w:sz w:val="24"/>
          <w:szCs w:val="24"/>
        </w:rPr>
      </w:pPr>
      <w:r w:rsidRPr="008D3596">
        <w:rPr>
          <w:rFonts w:ascii="Times New Roman" w:hAnsi="Times New Roman" w:cs="Times New Roman"/>
          <w:b/>
          <w:sz w:val="24"/>
          <w:szCs w:val="24"/>
        </w:rPr>
        <w:t>(Date)</w:t>
      </w:r>
    </w:p>
    <w:p w:rsidR="00AE1C63" w:rsidRDefault="00AE1C63" w:rsidP="00043BF6">
      <w:pPr>
        <w:spacing w:line="480" w:lineRule="auto"/>
        <w:jc w:val="center"/>
        <w:rPr>
          <w:rFonts w:ascii="Times New Roman" w:hAnsi="Times New Roman" w:cs="Times New Roman"/>
          <w:b/>
          <w:sz w:val="24"/>
          <w:szCs w:val="24"/>
        </w:rPr>
      </w:pPr>
    </w:p>
    <w:p w:rsidR="00AE1C63" w:rsidRDefault="00AE1C63" w:rsidP="00043BF6">
      <w:pPr>
        <w:spacing w:line="480" w:lineRule="auto"/>
        <w:jc w:val="center"/>
        <w:rPr>
          <w:rFonts w:ascii="Times New Roman" w:hAnsi="Times New Roman" w:cs="Times New Roman"/>
          <w:b/>
          <w:sz w:val="24"/>
          <w:szCs w:val="24"/>
        </w:rPr>
      </w:pPr>
    </w:p>
    <w:p w:rsidR="00AE1C63" w:rsidRDefault="00AE1C63"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043BF6" w:rsidRDefault="00043BF6" w:rsidP="00043BF6">
      <w:pPr>
        <w:spacing w:line="480" w:lineRule="auto"/>
        <w:jc w:val="center"/>
        <w:rPr>
          <w:rFonts w:ascii="Times New Roman" w:hAnsi="Times New Roman" w:cs="Times New Roman"/>
          <w:b/>
          <w:sz w:val="24"/>
          <w:szCs w:val="24"/>
        </w:rPr>
      </w:pPr>
    </w:p>
    <w:p w:rsidR="00514E49" w:rsidRPr="00B35DCF" w:rsidRDefault="00F074AF" w:rsidP="00043BF6">
      <w:pPr>
        <w:spacing w:line="480" w:lineRule="auto"/>
        <w:jc w:val="center"/>
        <w:rPr>
          <w:rFonts w:ascii="Times New Roman" w:hAnsi="Times New Roman" w:cs="Times New Roman"/>
          <w:b/>
          <w:sz w:val="24"/>
          <w:szCs w:val="24"/>
        </w:rPr>
      </w:pPr>
      <w:r w:rsidRPr="00B35DCF">
        <w:rPr>
          <w:rFonts w:ascii="Times New Roman" w:hAnsi="Times New Roman" w:cs="Times New Roman"/>
          <w:b/>
          <w:sz w:val="24"/>
          <w:szCs w:val="24"/>
        </w:rPr>
        <w:lastRenderedPageBreak/>
        <w:t>Introduction</w:t>
      </w:r>
    </w:p>
    <w:p w:rsidR="00F074AF" w:rsidRPr="00B35DCF" w:rsidRDefault="00F074AF" w:rsidP="00043BF6">
      <w:pPr>
        <w:spacing w:line="480" w:lineRule="auto"/>
        <w:rPr>
          <w:rFonts w:ascii="Times New Roman" w:hAnsi="Times New Roman" w:cs="Times New Roman"/>
          <w:sz w:val="24"/>
          <w:szCs w:val="24"/>
        </w:rPr>
      </w:pPr>
      <w:r w:rsidRPr="00B35DCF">
        <w:rPr>
          <w:rFonts w:ascii="Times New Roman" w:hAnsi="Times New Roman" w:cs="Times New Roman"/>
          <w:sz w:val="24"/>
          <w:szCs w:val="24"/>
        </w:rPr>
        <w:tab/>
      </w:r>
      <w:r w:rsidR="00840C99" w:rsidRPr="00B35DCF">
        <w:rPr>
          <w:rFonts w:ascii="Times New Roman" w:hAnsi="Times New Roman" w:cs="Times New Roman"/>
          <w:sz w:val="24"/>
          <w:szCs w:val="24"/>
        </w:rPr>
        <w:t>Investors, economists, and decision-makers in today's interconnected world must have the expertise to evaluate and analyze the underlying worth of various businesses. By following a framework consisting of four separate processes and making use of the anomalous earnings/NOPAT model, this group project sets out to conduct a thorough investigation into this area of financial research. The importance of such assessments has never been higher than it is now, as the corporate world is still experiencing fast upheavals beyond 2017</w:t>
      </w:r>
      <w:r w:rsidR="00534FCF">
        <w:rPr>
          <w:rFonts w:ascii="Times New Roman" w:hAnsi="Times New Roman" w:cs="Times New Roman"/>
          <w:sz w:val="24"/>
          <w:szCs w:val="24"/>
        </w:rPr>
        <w:t xml:space="preserve"> </w:t>
      </w:r>
      <w:r w:rsidR="00534FCF" w:rsidRPr="00534FCF">
        <w:rPr>
          <w:rFonts w:ascii="Times New Roman" w:hAnsi="Times New Roman" w:cs="Times New Roman"/>
          <w:sz w:val="24"/>
          <w:szCs w:val="24"/>
        </w:rPr>
        <w:t>(Gupta et al., 2022)</w:t>
      </w:r>
      <w:r w:rsidR="00840C99" w:rsidRPr="00B35DCF">
        <w:rPr>
          <w:rFonts w:ascii="Times New Roman" w:hAnsi="Times New Roman" w:cs="Times New Roman"/>
          <w:sz w:val="24"/>
          <w:szCs w:val="24"/>
        </w:rPr>
        <w:t>. This study analyzes the monetary success of three repre</w:t>
      </w:r>
      <w:r w:rsidR="00E50340" w:rsidRPr="00B35DCF">
        <w:rPr>
          <w:rFonts w:ascii="Times New Roman" w:hAnsi="Times New Roman" w:cs="Times New Roman"/>
          <w:sz w:val="24"/>
          <w:szCs w:val="24"/>
        </w:rPr>
        <w:t xml:space="preserve">sentative firms within </w:t>
      </w:r>
      <w:r w:rsidR="00840C99" w:rsidRPr="00B35DCF">
        <w:rPr>
          <w:rFonts w:ascii="Times New Roman" w:hAnsi="Times New Roman" w:cs="Times New Roman"/>
          <w:sz w:val="24"/>
          <w:szCs w:val="24"/>
        </w:rPr>
        <w:t>the technology industry, with the ultimate goal of providing useful suggestions based on these companies' results.</w:t>
      </w:r>
    </w:p>
    <w:p w:rsidR="00982E1C" w:rsidRPr="00B35DCF" w:rsidRDefault="00982E1C" w:rsidP="00043BF6">
      <w:pPr>
        <w:spacing w:line="480" w:lineRule="auto"/>
        <w:rPr>
          <w:rFonts w:ascii="Times New Roman" w:hAnsi="Times New Roman" w:cs="Times New Roman"/>
          <w:sz w:val="24"/>
          <w:szCs w:val="24"/>
        </w:rPr>
      </w:pPr>
      <w:r w:rsidRPr="00B35DCF">
        <w:rPr>
          <w:rFonts w:ascii="Times New Roman" w:hAnsi="Times New Roman" w:cs="Times New Roman"/>
          <w:sz w:val="24"/>
          <w:szCs w:val="24"/>
        </w:rPr>
        <w:tab/>
        <w:t>The technology industry has undergone tremendous change since 2017, with remarkable growth in areas such as artificial intelligence, cloud computing, and e-commerce ().</w:t>
      </w:r>
      <w:r w:rsidR="00CC3A29" w:rsidRPr="00B35DCF">
        <w:rPr>
          <w:rFonts w:ascii="Times New Roman" w:hAnsi="Times New Roman" w:cs="Times New Roman"/>
          <w:sz w:val="24"/>
          <w:szCs w:val="24"/>
        </w:rPr>
        <w:t xml:space="preserve"> </w:t>
      </w:r>
      <w:r w:rsidRPr="00B35DCF">
        <w:rPr>
          <w:rFonts w:ascii="Times New Roman" w:hAnsi="Times New Roman" w:cs="Times New Roman"/>
          <w:sz w:val="24"/>
          <w:szCs w:val="24"/>
        </w:rPr>
        <w:t xml:space="preserve">This sector has not only experienced economic growth but also dramatic change. Understanding the financial health and profitability of technology companies has become increasingly important. Recent developments, including the global shift to remote work, accelerated digitization, and emerging technologies such as </w:t>
      </w:r>
      <w:r w:rsidR="000A2C76" w:rsidRPr="00B35DCF">
        <w:rPr>
          <w:rFonts w:ascii="Times New Roman" w:hAnsi="Times New Roman" w:cs="Times New Roman"/>
          <w:sz w:val="24"/>
          <w:szCs w:val="24"/>
        </w:rPr>
        <w:t>block chain</w:t>
      </w:r>
      <w:r w:rsidRPr="00B35DCF">
        <w:rPr>
          <w:rFonts w:ascii="Times New Roman" w:hAnsi="Times New Roman" w:cs="Times New Roman"/>
          <w:sz w:val="24"/>
          <w:szCs w:val="24"/>
        </w:rPr>
        <w:t xml:space="preserve"> and 5G, have reshaped the landscape, highlighting the need for cutting-edge financial analysis.</w:t>
      </w:r>
    </w:p>
    <w:p w:rsidR="00AF504C" w:rsidRPr="00B35DCF" w:rsidRDefault="00CC3A29" w:rsidP="00043BF6">
      <w:pPr>
        <w:spacing w:line="480" w:lineRule="auto"/>
        <w:rPr>
          <w:rFonts w:ascii="Times New Roman" w:hAnsi="Times New Roman" w:cs="Times New Roman"/>
          <w:sz w:val="24"/>
          <w:szCs w:val="24"/>
        </w:rPr>
      </w:pPr>
      <w:r w:rsidRPr="00B35DCF">
        <w:rPr>
          <w:rFonts w:ascii="Times New Roman" w:hAnsi="Times New Roman" w:cs="Times New Roman"/>
          <w:sz w:val="24"/>
          <w:szCs w:val="24"/>
        </w:rPr>
        <w:tab/>
        <w:t>The primary purpose of this study is to develop and use a complete analysis of financial statements framework for the purpose of evaluating and comparing the basic value of firms opera</w:t>
      </w:r>
      <w:r w:rsidR="00AF504C" w:rsidRPr="00B35DCF">
        <w:rPr>
          <w:rFonts w:ascii="Times New Roman" w:hAnsi="Times New Roman" w:cs="Times New Roman"/>
          <w:sz w:val="24"/>
          <w:szCs w:val="24"/>
        </w:rPr>
        <w:t>ting in the field of technology</w:t>
      </w:r>
      <w:r w:rsidRPr="00B35DCF">
        <w:rPr>
          <w:rFonts w:ascii="Times New Roman" w:hAnsi="Times New Roman" w:cs="Times New Roman"/>
          <w:sz w:val="24"/>
          <w:szCs w:val="24"/>
        </w:rPr>
        <w:t>.</w:t>
      </w:r>
      <w:r w:rsidR="00AF504C" w:rsidRPr="00B35DCF">
        <w:rPr>
          <w:rFonts w:ascii="Times New Roman" w:hAnsi="Times New Roman" w:cs="Times New Roman"/>
          <w:sz w:val="24"/>
          <w:szCs w:val="24"/>
        </w:rPr>
        <w:t xml:space="preserve"> This area of ​​research is critical in the current academic and practical context. As the technology sector continues to shape the future, smart investments and strategic decisions a</w:t>
      </w:r>
      <w:r w:rsidR="00534FCF">
        <w:rPr>
          <w:rFonts w:ascii="Times New Roman" w:hAnsi="Times New Roman" w:cs="Times New Roman"/>
          <w:sz w:val="24"/>
          <w:szCs w:val="24"/>
        </w:rPr>
        <w:t xml:space="preserve">re based on informed analysis </w:t>
      </w:r>
      <w:r w:rsidR="00534FCF" w:rsidRPr="00534FCF">
        <w:rPr>
          <w:rFonts w:ascii="Times New Roman" w:hAnsi="Times New Roman" w:cs="Times New Roman"/>
          <w:sz w:val="24"/>
          <w:szCs w:val="24"/>
        </w:rPr>
        <w:t>(Calzon, 2023)</w:t>
      </w:r>
      <w:r w:rsidR="00AF504C" w:rsidRPr="00B35DCF">
        <w:rPr>
          <w:rFonts w:ascii="Times New Roman" w:hAnsi="Times New Roman" w:cs="Times New Roman"/>
          <w:sz w:val="24"/>
          <w:szCs w:val="24"/>
        </w:rPr>
        <w:t xml:space="preserve">. Additionally, the COVID-19 </w:t>
      </w:r>
      <w:r w:rsidR="00AF504C" w:rsidRPr="00B35DCF">
        <w:rPr>
          <w:rFonts w:ascii="Times New Roman" w:hAnsi="Times New Roman" w:cs="Times New Roman"/>
          <w:sz w:val="24"/>
          <w:szCs w:val="24"/>
        </w:rPr>
        <w:lastRenderedPageBreak/>
        <w:t>pandemic highlighted the sector’s resilience and adaptability, making it an important focus for investors, policy makers and businesses seeking an ever evolving business environment.</w:t>
      </w:r>
    </w:p>
    <w:p w:rsidR="00CC3A29" w:rsidRPr="00B35DCF" w:rsidRDefault="004A0DDE" w:rsidP="00043BF6">
      <w:pPr>
        <w:spacing w:line="480" w:lineRule="auto"/>
        <w:jc w:val="center"/>
        <w:rPr>
          <w:rFonts w:ascii="Times New Roman" w:hAnsi="Times New Roman" w:cs="Times New Roman"/>
          <w:b/>
          <w:sz w:val="24"/>
          <w:szCs w:val="24"/>
        </w:rPr>
      </w:pPr>
      <w:r w:rsidRPr="00B35DCF">
        <w:rPr>
          <w:rFonts w:ascii="Times New Roman" w:hAnsi="Times New Roman" w:cs="Times New Roman"/>
          <w:b/>
          <w:sz w:val="24"/>
          <w:szCs w:val="24"/>
        </w:rPr>
        <w:t>Selection Procedure.</w:t>
      </w:r>
    </w:p>
    <w:p w:rsidR="00982E1C" w:rsidRPr="00B35DCF" w:rsidRDefault="007A6A8A" w:rsidP="00043BF6">
      <w:pPr>
        <w:spacing w:line="480" w:lineRule="auto"/>
        <w:ind w:firstLine="720"/>
        <w:rPr>
          <w:rFonts w:ascii="Times New Roman" w:hAnsi="Times New Roman" w:cs="Times New Roman"/>
          <w:sz w:val="24"/>
          <w:szCs w:val="24"/>
        </w:rPr>
      </w:pPr>
      <w:r w:rsidRPr="00B35DCF">
        <w:rPr>
          <w:rFonts w:ascii="Times New Roman" w:hAnsi="Times New Roman" w:cs="Times New Roman"/>
          <w:sz w:val="24"/>
          <w:szCs w:val="24"/>
        </w:rPr>
        <w:t>Identifying the best candidates for this task required first developing a preliminary list of publicly listed technology enterprises operating in the same nation. We aimed to give a comprehensive picture of the technology industry by selecting companies that represented a wide range of product lines, market caps, and specialty areas. Since the IT industry is always evolving, the chosen companies were well-known brands lik</w:t>
      </w:r>
      <w:r w:rsidR="00587E31">
        <w:rPr>
          <w:rFonts w:ascii="Times New Roman" w:hAnsi="Times New Roman" w:cs="Times New Roman"/>
          <w:sz w:val="24"/>
          <w:szCs w:val="24"/>
        </w:rPr>
        <w:t>e Apple and Microsoft</w:t>
      </w:r>
      <w:r w:rsidRPr="00B35DCF">
        <w:rPr>
          <w:rFonts w:ascii="Times New Roman" w:hAnsi="Times New Roman" w:cs="Times New Roman"/>
          <w:sz w:val="24"/>
          <w:szCs w:val="24"/>
        </w:rPr>
        <w:t xml:space="preserve"> that are not only household names but also have significant sway in their respective industries. Recent financial data is crucial for a complete examination, and the chosen companies have well-documented financial reports and publicly available information. Their visibility and stature in the IT industry ensures that their financial results are representative of the sector as a whole.</w:t>
      </w:r>
    </w:p>
    <w:p w:rsidR="00CE18DE" w:rsidRPr="00B35DCF" w:rsidRDefault="005141B6" w:rsidP="00043BF6">
      <w:pPr>
        <w:spacing w:line="480" w:lineRule="auto"/>
        <w:jc w:val="center"/>
        <w:rPr>
          <w:rFonts w:ascii="Times New Roman" w:hAnsi="Times New Roman" w:cs="Times New Roman"/>
          <w:b/>
          <w:sz w:val="24"/>
          <w:szCs w:val="24"/>
        </w:rPr>
      </w:pPr>
      <w:r w:rsidRPr="00B35DCF">
        <w:rPr>
          <w:rFonts w:ascii="Times New Roman" w:hAnsi="Times New Roman" w:cs="Times New Roman"/>
          <w:b/>
          <w:sz w:val="24"/>
          <w:szCs w:val="24"/>
        </w:rPr>
        <w:t>FSA Framework</w:t>
      </w:r>
    </w:p>
    <w:p w:rsidR="005141B6" w:rsidRPr="00732380" w:rsidRDefault="00C61FFE" w:rsidP="00043BF6">
      <w:pPr>
        <w:spacing w:line="480" w:lineRule="auto"/>
        <w:rPr>
          <w:rFonts w:ascii="Times New Roman" w:hAnsi="Times New Roman" w:cs="Times New Roman"/>
          <w:b/>
          <w:sz w:val="24"/>
          <w:szCs w:val="24"/>
        </w:rPr>
      </w:pPr>
      <w:r w:rsidRPr="00732380">
        <w:rPr>
          <w:rFonts w:ascii="Times New Roman" w:hAnsi="Times New Roman" w:cs="Times New Roman"/>
          <w:b/>
          <w:sz w:val="24"/>
          <w:szCs w:val="24"/>
        </w:rPr>
        <w:t>Financial Analysis</w:t>
      </w:r>
    </w:p>
    <w:p w:rsidR="003E7F85" w:rsidRDefault="003E7F85" w:rsidP="00043BF6">
      <w:pPr>
        <w:spacing w:line="480" w:lineRule="auto"/>
        <w:rPr>
          <w:rFonts w:ascii="Times New Roman" w:hAnsi="Times New Roman" w:cs="Times New Roman"/>
          <w:sz w:val="24"/>
          <w:szCs w:val="24"/>
        </w:rPr>
      </w:pPr>
      <w:r>
        <w:rPr>
          <w:rFonts w:ascii="Times New Roman" w:hAnsi="Times New Roman" w:cs="Times New Roman"/>
          <w:b/>
          <w:i/>
          <w:sz w:val="24"/>
          <w:szCs w:val="24"/>
        </w:rPr>
        <w:tab/>
      </w:r>
      <w:r w:rsidRPr="003E7F85">
        <w:rPr>
          <w:rFonts w:ascii="Times New Roman" w:hAnsi="Times New Roman" w:cs="Times New Roman"/>
          <w:sz w:val="24"/>
          <w:szCs w:val="24"/>
        </w:rPr>
        <w:t>Evaluating economic patterns, determining fiscal policy, planning for corporate activity over the long term, and locating investment opportunities are all examples of the many ways in which financial analysis may be put to use</w:t>
      </w:r>
      <w:r w:rsidR="0031243B">
        <w:rPr>
          <w:rFonts w:ascii="Times New Roman" w:hAnsi="Times New Roman" w:cs="Times New Roman"/>
          <w:sz w:val="24"/>
          <w:szCs w:val="24"/>
        </w:rPr>
        <w:t xml:space="preserve"> </w:t>
      </w:r>
      <w:r w:rsidR="0031243B" w:rsidRPr="0031243B">
        <w:rPr>
          <w:rFonts w:ascii="Times New Roman" w:hAnsi="Times New Roman" w:cs="Times New Roman"/>
          <w:sz w:val="24"/>
          <w:szCs w:val="24"/>
        </w:rPr>
        <w:t>(Tuovila, 2023)</w:t>
      </w:r>
      <w:r w:rsidRPr="003E7F85">
        <w:rPr>
          <w:rFonts w:ascii="Times New Roman" w:hAnsi="Times New Roman" w:cs="Times New Roman"/>
          <w:sz w:val="24"/>
          <w:szCs w:val="24"/>
        </w:rPr>
        <w:t>. To do this, financial facts and figures are synthesized. The financial documents (income statement, balance sheet, and cash flow statement) of a corporation are scrutinized by a financial analyst. Both corporate economics and investment finance provide environments in which financial analysis may be performed. Calculating ratios using the financial statements and comparing their results with those of other firms or to an organization's own historical performance is a standard method of financial analysis</w:t>
      </w:r>
      <w:r w:rsidR="00774F1E">
        <w:rPr>
          <w:rFonts w:ascii="Times New Roman" w:hAnsi="Times New Roman" w:cs="Times New Roman"/>
          <w:sz w:val="24"/>
          <w:szCs w:val="24"/>
        </w:rPr>
        <w:t xml:space="preserve"> </w:t>
      </w:r>
      <w:r w:rsidR="00774F1E" w:rsidRPr="00774F1E">
        <w:rPr>
          <w:rFonts w:ascii="Times New Roman" w:hAnsi="Times New Roman" w:cs="Times New Roman"/>
          <w:sz w:val="24"/>
          <w:szCs w:val="24"/>
        </w:rPr>
        <w:t>(Tuovila, 2023)</w:t>
      </w:r>
      <w:r w:rsidRPr="003E7F85">
        <w:rPr>
          <w:rFonts w:ascii="Times New Roman" w:hAnsi="Times New Roman" w:cs="Times New Roman"/>
          <w:sz w:val="24"/>
          <w:szCs w:val="24"/>
        </w:rPr>
        <w:t>.</w:t>
      </w:r>
    </w:p>
    <w:p w:rsidR="00A22DEE" w:rsidRDefault="00A22DEE" w:rsidP="00043BF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financial analysis of the three companies </w:t>
      </w:r>
      <w:r w:rsidR="008B144A">
        <w:rPr>
          <w:rFonts w:ascii="Times New Roman" w:hAnsi="Times New Roman" w:cs="Times New Roman"/>
          <w:sz w:val="24"/>
          <w:szCs w:val="24"/>
        </w:rPr>
        <w:t xml:space="preserve">will begin with the ratio analysis which will be used to assess how items in various financial statement are related to each other to reflect the overall performance. After the ratio analysis a </w:t>
      </w:r>
      <w:r w:rsidR="00732380">
        <w:rPr>
          <w:rFonts w:ascii="Times New Roman" w:hAnsi="Times New Roman" w:cs="Times New Roman"/>
          <w:sz w:val="24"/>
          <w:szCs w:val="24"/>
        </w:rPr>
        <w:t>cash flow</w:t>
      </w:r>
      <w:r w:rsidR="008B144A">
        <w:rPr>
          <w:rFonts w:ascii="Times New Roman" w:hAnsi="Times New Roman" w:cs="Times New Roman"/>
          <w:sz w:val="24"/>
          <w:szCs w:val="24"/>
        </w:rPr>
        <w:t xml:space="preserve"> analysis will be conducted for purposes of evaluating liquidity, investments and financing activities. </w:t>
      </w:r>
    </w:p>
    <w:p w:rsidR="0031243B" w:rsidRDefault="00E42E0E" w:rsidP="00043BF6">
      <w:pPr>
        <w:spacing w:line="480" w:lineRule="auto"/>
        <w:rPr>
          <w:rFonts w:ascii="Times New Roman" w:hAnsi="Times New Roman" w:cs="Times New Roman"/>
          <w:b/>
          <w:i/>
          <w:sz w:val="24"/>
          <w:szCs w:val="24"/>
        </w:rPr>
      </w:pPr>
      <w:r w:rsidRPr="00E42E0E">
        <w:rPr>
          <w:rFonts w:ascii="Times New Roman" w:hAnsi="Times New Roman" w:cs="Times New Roman"/>
          <w:b/>
          <w:i/>
          <w:sz w:val="24"/>
          <w:szCs w:val="24"/>
        </w:rPr>
        <w:t xml:space="preserve">Overall Profitability </w:t>
      </w:r>
      <w:r w:rsidR="00E71027">
        <w:rPr>
          <w:rFonts w:ascii="Times New Roman" w:hAnsi="Times New Roman" w:cs="Times New Roman"/>
          <w:b/>
          <w:i/>
          <w:sz w:val="24"/>
          <w:szCs w:val="24"/>
        </w:rPr>
        <w:t xml:space="preserve">of APPLE </w:t>
      </w:r>
      <w:r w:rsidR="0029730C">
        <w:rPr>
          <w:rFonts w:ascii="Times New Roman" w:hAnsi="Times New Roman" w:cs="Times New Roman"/>
          <w:b/>
          <w:i/>
          <w:sz w:val="24"/>
          <w:szCs w:val="24"/>
        </w:rPr>
        <w:t>Inc</w:t>
      </w:r>
      <w:r w:rsidR="00E71027">
        <w:rPr>
          <w:rFonts w:ascii="Times New Roman" w:hAnsi="Times New Roman" w:cs="Times New Roman"/>
          <w:b/>
          <w:i/>
          <w:sz w:val="24"/>
          <w:szCs w:val="24"/>
        </w:rPr>
        <w:t>.</w:t>
      </w:r>
    </w:p>
    <w:p w:rsidR="0029730C" w:rsidRDefault="0029730C" w:rsidP="00043BF6">
      <w:pPr>
        <w:spacing w:line="480" w:lineRule="auto"/>
        <w:rPr>
          <w:rFonts w:ascii="Times New Roman" w:hAnsi="Times New Roman" w:cs="Times New Roman"/>
          <w:sz w:val="24"/>
          <w:szCs w:val="24"/>
        </w:rPr>
      </w:pPr>
      <w:r w:rsidRPr="00507ED5">
        <w:rPr>
          <w:rFonts w:ascii="Times New Roman" w:hAnsi="Times New Roman" w:cs="Times New Roman"/>
          <w:sz w:val="24"/>
          <w:szCs w:val="24"/>
        </w:rPr>
        <w:tab/>
        <w:t>One of the best ways to begin methodically analyzing a business's success is by looking at its return on equity (ROE).</w:t>
      </w:r>
    </w:p>
    <w:p w:rsidR="002A518D" w:rsidRDefault="002A518D" w:rsidP="00043BF6">
      <w:pPr>
        <w:spacing w:line="480" w:lineRule="auto"/>
        <w:rPr>
          <w:rFonts w:ascii="Times New Roman" w:hAnsi="Times New Roman" w:cs="Times New Roman"/>
          <w:sz w:val="24"/>
          <w:szCs w:val="24"/>
        </w:rPr>
      </w:pPr>
      <w:r>
        <w:rPr>
          <w:rFonts w:ascii="Times New Roman" w:hAnsi="Times New Roman" w:cs="Times New Roman"/>
          <w:sz w:val="24"/>
          <w:szCs w:val="24"/>
        </w:rPr>
        <w:tab/>
        <w:t>ROE is calculated by the formula: ROE= Net Income-Preferred Dividends/Average Shareholder’s Equity</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3B6A8E" w:rsidTr="003B6A8E">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Data Items in millions</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2022</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2021</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2020</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2019</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2018</w:t>
            </w:r>
          </w:p>
        </w:tc>
      </w:tr>
      <w:tr w:rsidR="003B6A8E" w:rsidTr="003B6A8E">
        <w:tc>
          <w:tcPr>
            <w:tcW w:w="1566" w:type="dxa"/>
          </w:tcPr>
          <w:p w:rsidR="003B6A8E" w:rsidRDefault="004E7F23" w:rsidP="00043BF6">
            <w:pPr>
              <w:spacing w:line="480" w:lineRule="auto"/>
              <w:rPr>
                <w:rFonts w:ascii="Times New Roman" w:hAnsi="Times New Roman" w:cs="Times New Roman"/>
                <w:sz w:val="24"/>
                <w:szCs w:val="24"/>
              </w:rPr>
            </w:pPr>
            <w:r>
              <w:rPr>
                <w:rFonts w:ascii="Times New Roman" w:hAnsi="Times New Roman" w:cs="Times New Roman"/>
                <w:sz w:val="24"/>
                <w:szCs w:val="24"/>
              </w:rPr>
              <w:t>Net Income – Preferred Dividends</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99,803</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94,680</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57,411</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55,256</w:t>
            </w:r>
          </w:p>
        </w:tc>
        <w:tc>
          <w:tcPr>
            <w:tcW w:w="1566" w:type="dxa"/>
          </w:tcPr>
          <w:p w:rsidR="003B6A8E" w:rsidRDefault="00341AE0" w:rsidP="00043BF6">
            <w:pPr>
              <w:spacing w:line="480" w:lineRule="auto"/>
              <w:rPr>
                <w:rFonts w:ascii="Times New Roman" w:hAnsi="Times New Roman" w:cs="Times New Roman"/>
                <w:sz w:val="24"/>
                <w:szCs w:val="24"/>
              </w:rPr>
            </w:pPr>
            <w:r>
              <w:rPr>
                <w:rFonts w:ascii="Times New Roman" w:hAnsi="Times New Roman" w:cs="Times New Roman"/>
                <w:sz w:val="24"/>
                <w:szCs w:val="24"/>
              </w:rPr>
              <w:t>59,531</w:t>
            </w:r>
          </w:p>
        </w:tc>
      </w:tr>
      <w:tr w:rsidR="003B6A8E" w:rsidTr="003B6A8E">
        <w:tc>
          <w:tcPr>
            <w:tcW w:w="1566" w:type="dxa"/>
          </w:tcPr>
          <w:p w:rsidR="003B6A8E" w:rsidRDefault="00BE0FBE" w:rsidP="00043BF6">
            <w:pPr>
              <w:spacing w:line="480" w:lineRule="auto"/>
              <w:rPr>
                <w:rFonts w:ascii="Times New Roman" w:hAnsi="Times New Roman" w:cs="Times New Roman"/>
                <w:sz w:val="24"/>
                <w:szCs w:val="24"/>
              </w:rPr>
            </w:pPr>
            <w:r>
              <w:rPr>
                <w:rFonts w:ascii="Times New Roman" w:hAnsi="Times New Roman" w:cs="Times New Roman"/>
                <w:sz w:val="24"/>
                <w:szCs w:val="24"/>
              </w:rPr>
              <w:t>Average Shareholder’s Equity</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50,672</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63,090</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65,339</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107,147</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134,047</w:t>
            </w:r>
          </w:p>
        </w:tc>
      </w:tr>
      <w:tr w:rsidR="003B6A8E" w:rsidTr="003B6A8E">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ROE</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1.9695</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1.5007</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0.8787</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0.5157</w:t>
            </w:r>
          </w:p>
        </w:tc>
        <w:tc>
          <w:tcPr>
            <w:tcW w:w="1566" w:type="dxa"/>
          </w:tcPr>
          <w:p w:rsidR="003B6A8E" w:rsidRDefault="00B26C72" w:rsidP="00043BF6">
            <w:pPr>
              <w:spacing w:line="480" w:lineRule="auto"/>
              <w:rPr>
                <w:rFonts w:ascii="Times New Roman" w:hAnsi="Times New Roman" w:cs="Times New Roman"/>
                <w:sz w:val="24"/>
                <w:szCs w:val="24"/>
              </w:rPr>
            </w:pPr>
            <w:r>
              <w:rPr>
                <w:rFonts w:ascii="Times New Roman" w:hAnsi="Times New Roman" w:cs="Times New Roman"/>
                <w:sz w:val="24"/>
                <w:szCs w:val="24"/>
              </w:rPr>
              <w:t>0.4444</w:t>
            </w:r>
          </w:p>
        </w:tc>
      </w:tr>
    </w:tbl>
    <w:p w:rsidR="00233F8D" w:rsidRPr="00233F8D" w:rsidRDefault="00233F8D" w:rsidP="00043BF6">
      <w:pPr>
        <w:spacing w:line="480" w:lineRule="auto"/>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Table 1: Apple’s ROE over 5 years</w:t>
      </w:r>
    </w:p>
    <w:p w:rsidR="00B26C72" w:rsidRDefault="009D46DB" w:rsidP="00043BF6">
      <w:pPr>
        <w:spacing w:line="480" w:lineRule="auto"/>
        <w:ind w:firstLine="720"/>
        <w:rPr>
          <w:rFonts w:ascii="Times New Roman" w:hAnsi="Times New Roman" w:cs="Times New Roman"/>
          <w:sz w:val="24"/>
          <w:szCs w:val="24"/>
        </w:rPr>
      </w:pPr>
      <w:r>
        <w:rPr>
          <w:rFonts w:ascii="Times New Roman" w:hAnsi="Times New Roman" w:cs="Times New Roman"/>
          <w:sz w:val="24"/>
          <w:szCs w:val="24"/>
        </w:rPr>
        <w:t>Over the five-year period Apple’s ROE hit an all</w:t>
      </w:r>
      <w:r w:rsidR="00D50948">
        <w:rPr>
          <w:rFonts w:ascii="Times New Roman" w:hAnsi="Times New Roman" w:cs="Times New Roman"/>
          <w:sz w:val="24"/>
          <w:szCs w:val="24"/>
        </w:rPr>
        <w:t>-</w:t>
      </w:r>
      <w:r>
        <w:rPr>
          <w:rFonts w:ascii="Times New Roman" w:hAnsi="Times New Roman" w:cs="Times New Roman"/>
          <w:sz w:val="24"/>
          <w:szCs w:val="24"/>
        </w:rPr>
        <w:t>time high of 1.9695 in 2022</w:t>
      </w:r>
      <w:r w:rsidR="00B26C72" w:rsidRPr="00B26C72">
        <w:rPr>
          <w:rFonts w:ascii="Times New Roman" w:hAnsi="Times New Roman" w:cs="Times New Roman"/>
          <w:sz w:val="24"/>
          <w:szCs w:val="24"/>
        </w:rPr>
        <w:t>. This means that Apple's profit margin this year was larger than in prior years, expressed as a percentage of av</w:t>
      </w:r>
      <w:r>
        <w:rPr>
          <w:rFonts w:ascii="Times New Roman" w:hAnsi="Times New Roman" w:cs="Times New Roman"/>
          <w:sz w:val="24"/>
          <w:szCs w:val="24"/>
        </w:rPr>
        <w:t>erage shareholder equity. This was as a results of a 25% rise in Mac computer sales</w:t>
      </w:r>
      <w:r w:rsidR="00853DA8">
        <w:rPr>
          <w:rFonts w:ascii="Times New Roman" w:hAnsi="Times New Roman" w:cs="Times New Roman"/>
          <w:sz w:val="24"/>
          <w:szCs w:val="24"/>
        </w:rPr>
        <w:t>, while s</w:t>
      </w:r>
      <w:r w:rsidR="00853DA8" w:rsidRPr="00853DA8">
        <w:rPr>
          <w:rFonts w:ascii="Times New Roman" w:hAnsi="Times New Roman" w:cs="Times New Roman"/>
          <w:sz w:val="24"/>
          <w:szCs w:val="24"/>
        </w:rPr>
        <w:t xml:space="preserve">ervices accounted for 16% of revenue but 26% of gross profit thanks to things like iTunes, </w:t>
      </w:r>
      <w:r w:rsidR="00853DA8" w:rsidRPr="00853DA8">
        <w:rPr>
          <w:rFonts w:ascii="Times New Roman" w:hAnsi="Times New Roman" w:cs="Times New Roman"/>
          <w:sz w:val="24"/>
          <w:szCs w:val="24"/>
        </w:rPr>
        <w:lastRenderedPageBreak/>
        <w:t>Music, and Apple Pay as well as referral payments from Alphabet for driving customers to the Google search engine through Safari</w:t>
      </w:r>
      <w:r w:rsidR="00D50948">
        <w:rPr>
          <w:rFonts w:ascii="Times New Roman" w:hAnsi="Times New Roman" w:cs="Times New Roman"/>
          <w:sz w:val="24"/>
          <w:szCs w:val="24"/>
        </w:rPr>
        <w:t xml:space="preserve"> </w:t>
      </w:r>
      <w:r w:rsidR="00D50948" w:rsidRPr="00D50948">
        <w:rPr>
          <w:rFonts w:ascii="Times New Roman" w:hAnsi="Times New Roman" w:cs="Times New Roman"/>
          <w:sz w:val="24"/>
          <w:szCs w:val="24"/>
        </w:rPr>
        <w:t>(Mullaney, 2022)</w:t>
      </w:r>
      <w:r w:rsidR="00853DA8" w:rsidRPr="00853DA8">
        <w:rPr>
          <w:rFonts w:ascii="Times New Roman" w:hAnsi="Times New Roman" w:cs="Times New Roman"/>
          <w:sz w:val="24"/>
          <w:szCs w:val="24"/>
        </w:rPr>
        <w:t>. Their fourth-quarter sales increase of 24% much outpaced Apple's 9.2% rise in the same period, despite both companies benefiting from a new iPhone model and the continued transfer of current subscribers to faster 5G technology</w:t>
      </w:r>
      <w:r w:rsidR="00D50948">
        <w:rPr>
          <w:rFonts w:ascii="Times New Roman" w:hAnsi="Times New Roman" w:cs="Times New Roman"/>
          <w:sz w:val="24"/>
          <w:szCs w:val="24"/>
        </w:rPr>
        <w:t xml:space="preserve"> </w:t>
      </w:r>
      <w:r w:rsidR="00D50948" w:rsidRPr="00D50948">
        <w:rPr>
          <w:rFonts w:ascii="Times New Roman" w:hAnsi="Times New Roman" w:cs="Times New Roman"/>
          <w:sz w:val="24"/>
          <w:szCs w:val="24"/>
        </w:rPr>
        <w:t>(Mullaney, 2022)</w:t>
      </w:r>
      <w:r w:rsidR="00853DA8" w:rsidRPr="00853DA8">
        <w:rPr>
          <w:rFonts w:ascii="Times New Roman" w:hAnsi="Times New Roman" w:cs="Times New Roman"/>
          <w:sz w:val="24"/>
          <w:szCs w:val="24"/>
        </w:rPr>
        <w:t>.</w:t>
      </w:r>
    </w:p>
    <w:p w:rsidR="00B34FF2" w:rsidRDefault="00B34FF2" w:rsidP="00043BF6">
      <w:pPr>
        <w:spacing w:line="480" w:lineRule="auto"/>
        <w:rPr>
          <w:rFonts w:ascii="Times New Roman" w:hAnsi="Times New Roman" w:cs="Times New Roman"/>
          <w:sz w:val="24"/>
          <w:szCs w:val="24"/>
        </w:rPr>
      </w:pPr>
      <w:r>
        <w:rPr>
          <w:rFonts w:ascii="Times New Roman" w:hAnsi="Times New Roman" w:cs="Times New Roman"/>
          <w:sz w:val="24"/>
          <w:szCs w:val="24"/>
        </w:rPr>
        <w:tab/>
        <w:t>Over the pe</w:t>
      </w:r>
      <w:r w:rsidR="00463F2D">
        <w:rPr>
          <w:rFonts w:ascii="Times New Roman" w:hAnsi="Times New Roman" w:cs="Times New Roman"/>
          <w:sz w:val="24"/>
          <w:szCs w:val="24"/>
        </w:rPr>
        <w:t xml:space="preserve">riod of the Five years Apple </w:t>
      </w:r>
      <w:r>
        <w:rPr>
          <w:rFonts w:ascii="Times New Roman" w:hAnsi="Times New Roman" w:cs="Times New Roman"/>
          <w:sz w:val="24"/>
          <w:szCs w:val="24"/>
        </w:rPr>
        <w:t>Inc</w:t>
      </w:r>
      <w:r w:rsidR="00463F2D">
        <w:rPr>
          <w:rFonts w:ascii="Times New Roman" w:hAnsi="Times New Roman" w:cs="Times New Roman"/>
          <w:sz w:val="24"/>
          <w:szCs w:val="24"/>
        </w:rPr>
        <w:t>.</w:t>
      </w:r>
      <w:r>
        <w:rPr>
          <w:rFonts w:ascii="Times New Roman" w:hAnsi="Times New Roman" w:cs="Times New Roman"/>
          <w:sz w:val="24"/>
          <w:szCs w:val="24"/>
        </w:rPr>
        <w:t xml:space="preserve"> has experienced a steady growth in its ROE with an ROE average of 1.0618</w:t>
      </w:r>
      <w:r w:rsidR="00463F2D">
        <w:rPr>
          <w:rFonts w:ascii="Times New Roman" w:hAnsi="Times New Roman" w:cs="Times New Roman"/>
          <w:sz w:val="24"/>
          <w:szCs w:val="24"/>
        </w:rPr>
        <w:t xml:space="preserve">. This can be attributed to high profit margins produced by Apple’s products. </w:t>
      </w:r>
      <w:r w:rsidR="006C3B2A" w:rsidRPr="006C3B2A">
        <w:rPr>
          <w:rFonts w:ascii="Times New Roman" w:hAnsi="Times New Roman" w:cs="Times New Roman"/>
          <w:sz w:val="24"/>
          <w:szCs w:val="24"/>
        </w:rPr>
        <w:t>The capacity of Apple to establish premium pricing for its goods contributes to the business's large profit margins. Apple is able to keep average prices low and product quality high because to the optimization of its supply chain towards cost (productive) effectiveness</w:t>
      </w:r>
      <w:r w:rsidR="00F51B47">
        <w:rPr>
          <w:rFonts w:ascii="Times New Roman" w:hAnsi="Times New Roman" w:cs="Times New Roman"/>
          <w:sz w:val="24"/>
          <w:szCs w:val="24"/>
        </w:rPr>
        <w:t xml:space="preserve"> </w:t>
      </w:r>
      <w:r w:rsidR="00F51B47" w:rsidRPr="00F51B47">
        <w:rPr>
          <w:rFonts w:ascii="Times New Roman" w:hAnsi="Times New Roman" w:cs="Times New Roman"/>
          <w:sz w:val="24"/>
          <w:szCs w:val="24"/>
        </w:rPr>
        <w:t>(Tutor2u, 2023)</w:t>
      </w:r>
      <w:r w:rsidR="006C3B2A" w:rsidRPr="006C3B2A">
        <w:rPr>
          <w:rFonts w:ascii="Times New Roman" w:hAnsi="Times New Roman" w:cs="Times New Roman"/>
          <w:sz w:val="24"/>
          <w:szCs w:val="24"/>
        </w:rPr>
        <w:t>.</w:t>
      </w:r>
      <w:r w:rsidR="00866958">
        <w:rPr>
          <w:rFonts w:ascii="Times New Roman" w:hAnsi="Times New Roman" w:cs="Times New Roman"/>
          <w:sz w:val="24"/>
          <w:szCs w:val="24"/>
        </w:rPr>
        <w:t xml:space="preserve"> Also, </w:t>
      </w:r>
      <w:r w:rsidR="00866958" w:rsidRPr="00866958">
        <w:rPr>
          <w:rFonts w:ascii="Times New Roman" w:hAnsi="Times New Roman" w:cs="Times New Roman"/>
          <w:sz w:val="24"/>
          <w:szCs w:val="24"/>
        </w:rPr>
        <w:t xml:space="preserve">Apple's income </w:t>
      </w:r>
      <w:r w:rsidR="00866958">
        <w:rPr>
          <w:rFonts w:ascii="Times New Roman" w:hAnsi="Times New Roman" w:cs="Times New Roman"/>
          <w:sz w:val="24"/>
          <w:szCs w:val="24"/>
        </w:rPr>
        <w:t>growth is as a result of diversification through the sales of</w:t>
      </w:r>
      <w:r w:rsidR="00866958" w:rsidRPr="00866958">
        <w:rPr>
          <w:rFonts w:ascii="Times New Roman" w:hAnsi="Times New Roman" w:cs="Times New Roman"/>
          <w:sz w:val="24"/>
          <w:szCs w:val="24"/>
        </w:rPr>
        <w:t xml:space="preserve"> products like iPhones and iPads, com</w:t>
      </w:r>
      <w:r w:rsidR="00343A4C">
        <w:rPr>
          <w:rFonts w:ascii="Times New Roman" w:hAnsi="Times New Roman" w:cs="Times New Roman"/>
          <w:sz w:val="24"/>
          <w:szCs w:val="24"/>
        </w:rPr>
        <w:t>puters, and accessories, as well as</w:t>
      </w:r>
      <w:r w:rsidR="00866958" w:rsidRPr="00866958">
        <w:rPr>
          <w:rFonts w:ascii="Times New Roman" w:hAnsi="Times New Roman" w:cs="Times New Roman"/>
          <w:sz w:val="24"/>
          <w:szCs w:val="24"/>
        </w:rPr>
        <w:t xml:space="preserve"> providing services such as the App Store, Apple Music, and iCloud. The company's risk is reduced and its revenue is guaranteed thanks to this </w:t>
      </w:r>
      <w:r w:rsidR="00343A4C">
        <w:rPr>
          <w:rFonts w:ascii="Times New Roman" w:hAnsi="Times New Roman" w:cs="Times New Roman"/>
          <w:sz w:val="24"/>
          <w:szCs w:val="24"/>
        </w:rPr>
        <w:t>strategy of diversification</w:t>
      </w:r>
      <w:r w:rsidR="009F358A">
        <w:rPr>
          <w:rFonts w:ascii="Times New Roman" w:hAnsi="Times New Roman" w:cs="Times New Roman"/>
          <w:sz w:val="24"/>
          <w:szCs w:val="24"/>
        </w:rPr>
        <w:t xml:space="preserve"> </w:t>
      </w:r>
      <w:r w:rsidR="009F358A" w:rsidRPr="009F358A">
        <w:rPr>
          <w:rFonts w:ascii="Times New Roman" w:hAnsi="Times New Roman" w:cs="Times New Roman"/>
          <w:sz w:val="24"/>
          <w:szCs w:val="24"/>
        </w:rPr>
        <w:t>(Tutor2u, 2023)</w:t>
      </w:r>
      <w:r w:rsidR="00343A4C">
        <w:rPr>
          <w:rFonts w:ascii="Times New Roman" w:hAnsi="Times New Roman" w:cs="Times New Roman"/>
          <w:sz w:val="24"/>
          <w:szCs w:val="24"/>
        </w:rPr>
        <w:t xml:space="preserve">. Therefore, Apple appears to be a company adept in utilizing its shareholders’ equity to realize high profit margins through </w:t>
      </w:r>
      <w:r w:rsidR="00866958" w:rsidRPr="00866958">
        <w:rPr>
          <w:rFonts w:ascii="Times New Roman" w:hAnsi="Times New Roman" w:cs="Times New Roman"/>
          <w:sz w:val="24"/>
          <w:szCs w:val="24"/>
        </w:rPr>
        <w:t>a scale economy that involves taking on risk.</w:t>
      </w:r>
    </w:p>
    <w:p w:rsidR="00B34FF2" w:rsidRDefault="00B34FF2" w:rsidP="00043BF6">
      <w:pPr>
        <w:spacing w:line="480" w:lineRule="auto"/>
        <w:rPr>
          <w:rFonts w:ascii="Times New Roman" w:hAnsi="Times New Roman" w:cs="Times New Roman"/>
          <w:sz w:val="24"/>
          <w:szCs w:val="24"/>
        </w:rPr>
      </w:pPr>
      <w:r>
        <w:rPr>
          <w:noProof/>
        </w:rPr>
        <w:lastRenderedPageBreak/>
        <w:drawing>
          <wp:inline distT="0" distB="0" distL="0" distR="0" wp14:anchorId="717DED5D" wp14:editId="5B059B61">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B34FF2" w:rsidRDefault="006B2A3E" w:rsidP="00043BF6">
      <w:pPr>
        <w:spacing w:line="480" w:lineRule="auto"/>
        <w:rPr>
          <w:rFonts w:ascii="Times New Roman" w:hAnsi="Times New Roman" w:cs="Times New Roman"/>
          <w:i/>
          <w:sz w:val="24"/>
          <w:szCs w:val="24"/>
        </w:rPr>
      </w:pPr>
      <w:r>
        <w:rPr>
          <w:rFonts w:ascii="Times New Roman" w:hAnsi="Times New Roman" w:cs="Times New Roman"/>
          <w:i/>
          <w:sz w:val="24"/>
          <w:szCs w:val="24"/>
        </w:rPr>
        <w:t>Figure 1</w:t>
      </w:r>
      <w:r w:rsidR="00B34FF2" w:rsidRPr="00F94429">
        <w:rPr>
          <w:rFonts w:ascii="Times New Roman" w:hAnsi="Times New Roman" w:cs="Times New Roman"/>
          <w:i/>
          <w:sz w:val="24"/>
          <w:szCs w:val="24"/>
        </w:rPr>
        <w:t>: Apple’s ROE Growth over 5 years</w:t>
      </w:r>
    </w:p>
    <w:p w:rsidR="00574AA3" w:rsidRDefault="00E71027" w:rsidP="00043BF6">
      <w:pPr>
        <w:spacing w:line="480" w:lineRule="auto"/>
        <w:rPr>
          <w:rFonts w:ascii="Times New Roman" w:hAnsi="Times New Roman" w:cs="Times New Roman"/>
          <w:b/>
          <w:i/>
          <w:sz w:val="24"/>
          <w:szCs w:val="24"/>
        </w:rPr>
      </w:pPr>
      <w:r>
        <w:rPr>
          <w:rFonts w:ascii="Times New Roman" w:hAnsi="Times New Roman" w:cs="Times New Roman"/>
          <w:b/>
          <w:i/>
          <w:sz w:val="24"/>
          <w:szCs w:val="24"/>
        </w:rPr>
        <w:t>Overall Profitability of</w:t>
      </w:r>
      <w:r w:rsidR="00D752F9" w:rsidRPr="008133D6">
        <w:rPr>
          <w:rFonts w:ascii="Times New Roman" w:hAnsi="Times New Roman" w:cs="Times New Roman"/>
          <w:b/>
          <w:i/>
          <w:sz w:val="24"/>
          <w:szCs w:val="24"/>
        </w:rPr>
        <w:t xml:space="preserve"> Microsoft</w:t>
      </w:r>
    </w:p>
    <w:p w:rsidR="00F35222" w:rsidRPr="00F35222" w:rsidRDefault="00E71027" w:rsidP="00043BF6">
      <w:pPr>
        <w:spacing w:line="480" w:lineRule="auto"/>
        <w:rPr>
          <w:rFonts w:ascii="Times New Roman" w:hAnsi="Times New Roman" w:cs="Times New Roman"/>
          <w:b/>
          <w:sz w:val="24"/>
          <w:szCs w:val="24"/>
        </w:rPr>
      </w:pPr>
      <w:r>
        <w:rPr>
          <w:rFonts w:ascii="Times New Roman" w:hAnsi="Times New Roman" w:cs="Times New Roman"/>
          <w:b/>
          <w:i/>
          <w:sz w:val="24"/>
          <w:szCs w:val="24"/>
        </w:rPr>
        <w:tab/>
      </w:r>
      <w:r w:rsidR="006938AA">
        <w:rPr>
          <w:noProof/>
        </w:rPr>
        <w:drawing>
          <wp:inline distT="0" distB="0" distL="0" distR="0" wp14:anchorId="0A67083B" wp14:editId="2DB37768">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E71027" w:rsidRPr="00BB3866" w:rsidRDefault="006B2A3E" w:rsidP="00043BF6">
      <w:pPr>
        <w:spacing w:line="480" w:lineRule="auto"/>
        <w:rPr>
          <w:rFonts w:ascii="Times New Roman" w:hAnsi="Times New Roman" w:cs="Times New Roman"/>
          <w:i/>
          <w:sz w:val="24"/>
          <w:szCs w:val="24"/>
        </w:rPr>
      </w:pPr>
      <w:r w:rsidRPr="00BB3866">
        <w:rPr>
          <w:rFonts w:ascii="Times New Roman" w:hAnsi="Times New Roman" w:cs="Times New Roman"/>
          <w:i/>
          <w:sz w:val="24"/>
          <w:szCs w:val="24"/>
        </w:rPr>
        <w:t>Figure 2: Microsoft’</w:t>
      </w:r>
      <w:r w:rsidR="001E150A" w:rsidRPr="00BB3866">
        <w:rPr>
          <w:rFonts w:ascii="Times New Roman" w:hAnsi="Times New Roman" w:cs="Times New Roman"/>
          <w:i/>
          <w:sz w:val="24"/>
          <w:szCs w:val="24"/>
        </w:rPr>
        <w:t>s ROE Growth over a five-</w:t>
      </w:r>
      <w:r w:rsidRPr="00BB3866">
        <w:rPr>
          <w:rFonts w:ascii="Times New Roman" w:hAnsi="Times New Roman" w:cs="Times New Roman"/>
          <w:i/>
          <w:sz w:val="24"/>
          <w:szCs w:val="24"/>
        </w:rPr>
        <w:t>year period</w:t>
      </w:r>
    </w:p>
    <w:p w:rsidR="00073F3E" w:rsidRPr="00073F3E" w:rsidRDefault="002F098F" w:rsidP="00043BF6">
      <w:pPr>
        <w:spacing w:line="480" w:lineRule="auto"/>
        <w:rPr>
          <w:rFonts w:ascii="Times New Roman" w:hAnsi="Times New Roman" w:cs="Times New Roman"/>
          <w:sz w:val="24"/>
          <w:szCs w:val="24"/>
        </w:rPr>
      </w:pPr>
      <w:r>
        <w:rPr>
          <w:rFonts w:ascii="Times New Roman" w:hAnsi="Times New Roman" w:cs="Times New Roman"/>
          <w:b/>
          <w:sz w:val="24"/>
          <w:szCs w:val="24"/>
        </w:rPr>
        <w:tab/>
      </w:r>
      <w:r w:rsidRPr="002F098F">
        <w:rPr>
          <w:rFonts w:ascii="Times New Roman" w:hAnsi="Times New Roman" w:cs="Times New Roman"/>
          <w:sz w:val="24"/>
          <w:szCs w:val="24"/>
        </w:rPr>
        <w:t xml:space="preserve">Return on Equity (ROE) for Microsoft has increased significantly and steadily over the last five years, demonstrating the company's increased effectiveness and profitability in creating profit from shareholders' equity. The most striking growth happened between 2018 and 2019, </w:t>
      </w:r>
      <w:r w:rsidRPr="002F098F">
        <w:rPr>
          <w:rFonts w:ascii="Times New Roman" w:hAnsi="Times New Roman" w:cs="Times New Roman"/>
          <w:sz w:val="24"/>
          <w:szCs w:val="24"/>
        </w:rPr>
        <w:lastRenderedPageBreak/>
        <w:t>when ROE jumped from 4.68% to 24.85%, suggesting a shift in investmen</w:t>
      </w:r>
      <w:r>
        <w:rPr>
          <w:rFonts w:ascii="Times New Roman" w:hAnsi="Times New Roman" w:cs="Times New Roman"/>
          <w:sz w:val="24"/>
          <w:szCs w:val="24"/>
        </w:rPr>
        <w:t>t</w:t>
      </w:r>
      <w:r w:rsidRPr="002F098F">
        <w:rPr>
          <w:rFonts w:ascii="Times New Roman" w:hAnsi="Times New Roman" w:cs="Times New Roman"/>
          <w:sz w:val="24"/>
          <w:szCs w:val="24"/>
        </w:rPr>
        <w:t> strategy shifts causing increased profitability. Since then, Microsoft's return on equity (ROE) has increased consistently, demonstrating the company's steadfast financial performance and persistent commitment to maximizing shareholder value.</w:t>
      </w:r>
      <w:r w:rsidR="00DC67D3">
        <w:rPr>
          <w:rFonts w:ascii="Times New Roman" w:hAnsi="Times New Roman" w:cs="Times New Roman"/>
          <w:sz w:val="24"/>
          <w:szCs w:val="24"/>
        </w:rPr>
        <w:t xml:space="preserve"> This can be attributed to </w:t>
      </w:r>
      <w:r w:rsidR="00073F3E" w:rsidRPr="00073F3E">
        <w:rPr>
          <w:rFonts w:ascii="Times New Roman" w:hAnsi="Times New Roman" w:cs="Times New Roman"/>
          <w:sz w:val="24"/>
          <w:szCs w:val="24"/>
        </w:rPr>
        <w:t xml:space="preserve">Microsoft making AI </w:t>
      </w:r>
      <w:r w:rsidR="00073F3E">
        <w:rPr>
          <w:rFonts w:ascii="Times New Roman" w:hAnsi="Times New Roman" w:cs="Times New Roman"/>
          <w:sz w:val="24"/>
          <w:szCs w:val="24"/>
        </w:rPr>
        <w:t xml:space="preserve">development a primary priority. </w:t>
      </w:r>
      <w:r w:rsidR="00073F3E" w:rsidRPr="00073F3E">
        <w:rPr>
          <w:rFonts w:ascii="Times New Roman" w:hAnsi="Times New Roman" w:cs="Times New Roman"/>
          <w:sz w:val="24"/>
          <w:szCs w:val="24"/>
        </w:rPr>
        <w:t xml:space="preserve"> On the results conference for the company's fiscal third quarter, CEO Satya Nadella said that "investing in the latest artificial intelligence wave" will continue to be a priority</w:t>
      </w:r>
      <w:r w:rsidR="00114430">
        <w:rPr>
          <w:rFonts w:ascii="Times New Roman" w:hAnsi="Times New Roman" w:cs="Times New Roman"/>
          <w:sz w:val="24"/>
          <w:szCs w:val="24"/>
        </w:rPr>
        <w:t xml:space="preserve"> </w:t>
      </w:r>
      <w:r w:rsidR="00114430" w:rsidRPr="00114430">
        <w:rPr>
          <w:rFonts w:ascii="Times New Roman" w:hAnsi="Times New Roman" w:cs="Times New Roman"/>
          <w:sz w:val="24"/>
          <w:szCs w:val="24"/>
        </w:rPr>
        <w:t>(DeVon, 2023)</w:t>
      </w:r>
      <w:r w:rsidR="00073F3E" w:rsidRPr="00073F3E">
        <w:rPr>
          <w:rFonts w:ascii="Times New Roman" w:hAnsi="Times New Roman" w:cs="Times New Roman"/>
          <w:sz w:val="24"/>
          <w:szCs w:val="24"/>
        </w:rPr>
        <w:t>.</w:t>
      </w:r>
    </w:p>
    <w:p w:rsidR="002F098F" w:rsidRDefault="00073F3E" w:rsidP="00043BF6">
      <w:pPr>
        <w:spacing w:line="480" w:lineRule="auto"/>
        <w:ind w:firstLine="720"/>
        <w:rPr>
          <w:rFonts w:ascii="Times New Roman" w:hAnsi="Times New Roman" w:cs="Times New Roman"/>
          <w:sz w:val="24"/>
          <w:szCs w:val="24"/>
        </w:rPr>
      </w:pPr>
      <w:r w:rsidRPr="00073F3E">
        <w:rPr>
          <w:rFonts w:ascii="Times New Roman" w:hAnsi="Times New Roman" w:cs="Times New Roman"/>
          <w:sz w:val="24"/>
          <w:szCs w:val="24"/>
        </w:rPr>
        <w:t>In January, Microsoft said that it will be investing several billion dollars in OpenAI, the AI research facility behind ChatGPT. Microsoft's flagship office suite, Office 365, now includes artificial intelligence (AI) features like "Copilot," which were previously only available in niche products</w:t>
      </w:r>
      <w:r w:rsidR="00B751D0">
        <w:rPr>
          <w:rFonts w:ascii="Times New Roman" w:hAnsi="Times New Roman" w:cs="Times New Roman"/>
          <w:sz w:val="24"/>
          <w:szCs w:val="24"/>
        </w:rPr>
        <w:t xml:space="preserve"> </w:t>
      </w:r>
      <w:r w:rsidR="00B751D0" w:rsidRPr="00B751D0">
        <w:rPr>
          <w:rFonts w:ascii="Times New Roman" w:hAnsi="Times New Roman" w:cs="Times New Roman"/>
          <w:sz w:val="24"/>
          <w:szCs w:val="24"/>
        </w:rPr>
        <w:t>(DeVon, 2023)</w:t>
      </w:r>
      <w:r w:rsidRPr="00073F3E">
        <w:rPr>
          <w:rFonts w:ascii="Times New Roman" w:hAnsi="Times New Roman" w:cs="Times New Roman"/>
          <w:sz w:val="24"/>
          <w:szCs w:val="24"/>
        </w:rPr>
        <w:t>.</w:t>
      </w:r>
      <w:r>
        <w:rPr>
          <w:rFonts w:ascii="Times New Roman" w:hAnsi="Times New Roman" w:cs="Times New Roman"/>
          <w:sz w:val="24"/>
          <w:szCs w:val="24"/>
        </w:rPr>
        <w:t xml:space="preserve"> </w:t>
      </w:r>
      <w:r w:rsidRPr="00073F3E">
        <w:rPr>
          <w:rFonts w:ascii="Times New Roman" w:hAnsi="Times New Roman" w:cs="Times New Roman"/>
          <w:sz w:val="24"/>
          <w:szCs w:val="24"/>
        </w:rPr>
        <w:t>As a result of AI-enhanced product quality, the firm anti</w:t>
      </w:r>
      <w:r w:rsidR="00B751D0">
        <w:rPr>
          <w:rFonts w:ascii="Times New Roman" w:hAnsi="Times New Roman" w:cs="Times New Roman"/>
          <w:sz w:val="24"/>
          <w:szCs w:val="24"/>
        </w:rPr>
        <w:t xml:space="preserve">cipates future revenue growth. </w:t>
      </w:r>
      <w:r w:rsidRPr="00073F3E">
        <w:rPr>
          <w:rFonts w:ascii="Times New Roman" w:hAnsi="Times New Roman" w:cs="Times New Roman"/>
          <w:sz w:val="24"/>
          <w:szCs w:val="24"/>
        </w:rPr>
        <w:t>Refinitiv consensus projections predicted sales of $51.02 billion for the fiscal third quarter, while actual revenue of $52.86 billion was 7% higher. Microsoft also above market expectations with their profits per share of $2.45</w:t>
      </w:r>
      <w:r w:rsidR="00B751D0">
        <w:rPr>
          <w:rFonts w:ascii="Times New Roman" w:hAnsi="Times New Roman" w:cs="Times New Roman"/>
          <w:sz w:val="24"/>
          <w:szCs w:val="24"/>
        </w:rPr>
        <w:t xml:space="preserve"> </w:t>
      </w:r>
      <w:r w:rsidR="00B751D0" w:rsidRPr="00B751D0">
        <w:rPr>
          <w:rFonts w:ascii="Times New Roman" w:hAnsi="Times New Roman" w:cs="Times New Roman"/>
          <w:sz w:val="24"/>
          <w:szCs w:val="24"/>
        </w:rPr>
        <w:t>(DeVon, 2023)</w:t>
      </w:r>
      <w:r w:rsidRPr="00073F3E">
        <w:rPr>
          <w:rFonts w:ascii="Times New Roman" w:hAnsi="Times New Roman" w:cs="Times New Roman"/>
          <w:sz w:val="24"/>
          <w:szCs w:val="24"/>
        </w:rPr>
        <w:t>.</w:t>
      </w:r>
    </w:p>
    <w:p w:rsidR="006938AA" w:rsidRDefault="00C96F4E" w:rsidP="00043BF6">
      <w:pPr>
        <w:spacing w:line="480" w:lineRule="auto"/>
        <w:rPr>
          <w:rFonts w:ascii="Times New Roman" w:hAnsi="Times New Roman" w:cs="Times New Roman"/>
          <w:b/>
          <w:i/>
          <w:sz w:val="24"/>
          <w:szCs w:val="24"/>
        </w:rPr>
      </w:pPr>
      <w:r>
        <w:rPr>
          <w:rFonts w:ascii="Times New Roman" w:hAnsi="Times New Roman" w:cs="Times New Roman"/>
          <w:sz w:val="24"/>
          <w:szCs w:val="24"/>
        </w:rPr>
        <w:tab/>
      </w:r>
      <w:r w:rsidRPr="00217714">
        <w:rPr>
          <w:rFonts w:ascii="Times New Roman" w:hAnsi="Times New Roman" w:cs="Times New Roman"/>
          <w:b/>
          <w:i/>
          <w:sz w:val="24"/>
          <w:szCs w:val="24"/>
        </w:rPr>
        <w:t>Company Comparison</w:t>
      </w:r>
    </w:p>
    <w:p w:rsidR="00217714" w:rsidRPr="00760DFA" w:rsidRDefault="00217714" w:rsidP="00043BF6">
      <w:pPr>
        <w:spacing w:line="480" w:lineRule="auto"/>
        <w:rPr>
          <w:rFonts w:ascii="Times New Roman" w:hAnsi="Times New Roman" w:cs="Times New Roman"/>
          <w:sz w:val="24"/>
          <w:szCs w:val="24"/>
        </w:rPr>
      </w:pPr>
      <w:r>
        <w:rPr>
          <w:rFonts w:ascii="Times New Roman" w:hAnsi="Times New Roman" w:cs="Times New Roman"/>
          <w:b/>
          <w:i/>
          <w:sz w:val="24"/>
          <w:szCs w:val="24"/>
        </w:rPr>
        <w:tab/>
      </w:r>
      <w:r w:rsidRPr="00760DFA">
        <w:rPr>
          <w:rFonts w:ascii="Times New Roman" w:hAnsi="Times New Roman" w:cs="Times New Roman"/>
          <w:sz w:val="24"/>
          <w:szCs w:val="24"/>
        </w:rPr>
        <w:t>In comparison to Microsoft, Apple had twice as much income (at $378.32 billion) in the past 12 months. However, MSFT's 68.83% gross profit margin, 49.12% EBITDA margin, and 38.50% net income margin outstrip AAPL's 43.02%, 33.89%, an</w:t>
      </w:r>
      <w:r w:rsidR="00F26DF3">
        <w:rPr>
          <w:rFonts w:ascii="Times New Roman" w:hAnsi="Times New Roman" w:cs="Times New Roman"/>
          <w:sz w:val="24"/>
          <w:szCs w:val="24"/>
        </w:rPr>
        <w:t xml:space="preserve">d 26.58% margins, respectively. </w:t>
      </w:r>
      <w:r w:rsidRPr="00760DFA">
        <w:rPr>
          <w:rFonts w:ascii="Times New Roman" w:hAnsi="Times New Roman" w:cs="Times New Roman"/>
          <w:sz w:val="24"/>
          <w:szCs w:val="24"/>
        </w:rPr>
        <w:t>Comparing MSFT with AAPL, it is clear that MSFT has a lower ROE (33.55%), ROA (15.25%), and ROTC (21.68%) than AAPL (185.57%)</w:t>
      </w:r>
      <w:r w:rsidR="00F26DF3">
        <w:rPr>
          <w:rFonts w:ascii="Times New Roman" w:hAnsi="Times New Roman" w:cs="Times New Roman"/>
          <w:sz w:val="24"/>
          <w:szCs w:val="24"/>
        </w:rPr>
        <w:t xml:space="preserve"> </w:t>
      </w:r>
      <w:r w:rsidR="00F26DF3" w:rsidRPr="00F26DF3">
        <w:rPr>
          <w:rFonts w:ascii="Times New Roman" w:hAnsi="Times New Roman" w:cs="Times New Roman"/>
          <w:sz w:val="24"/>
          <w:szCs w:val="24"/>
        </w:rPr>
        <w:t>(StockNews, 2022)</w:t>
      </w:r>
      <w:r w:rsidRPr="00760DFA">
        <w:rPr>
          <w:rFonts w:ascii="Times New Roman" w:hAnsi="Times New Roman" w:cs="Times New Roman"/>
          <w:sz w:val="24"/>
          <w:szCs w:val="24"/>
        </w:rPr>
        <w:t>. </w:t>
      </w:r>
    </w:p>
    <w:p w:rsidR="002E1714" w:rsidRDefault="002E1714" w:rsidP="00043BF6">
      <w:pPr>
        <w:spacing w:line="480" w:lineRule="auto"/>
        <w:rPr>
          <w:rFonts w:ascii="Times New Roman" w:hAnsi="Times New Roman" w:cs="Times New Roman"/>
          <w:b/>
          <w:sz w:val="24"/>
          <w:szCs w:val="24"/>
        </w:rPr>
      </w:pPr>
      <w:r w:rsidRPr="00F65DD8">
        <w:rPr>
          <w:rFonts w:ascii="Times New Roman" w:hAnsi="Times New Roman" w:cs="Times New Roman"/>
          <w:b/>
          <w:sz w:val="24"/>
          <w:szCs w:val="24"/>
        </w:rPr>
        <w:t>Assets</w:t>
      </w:r>
    </w:p>
    <w:p w:rsidR="00C410C2" w:rsidRDefault="00C410C2" w:rsidP="00043BF6">
      <w:pPr>
        <w:spacing w:line="480" w:lineRule="auto"/>
        <w:rPr>
          <w:rFonts w:ascii="Times New Roman" w:hAnsi="Times New Roman" w:cs="Times New Roman"/>
          <w:b/>
          <w:i/>
          <w:sz w:val="24"/>
          <w:szCs w:val="24"/>
        </w:rPr>
      </w:pPr>
      <w:r>
        <w:rPr>
          <w:rFonts w:ascii="Times New Roman" w:hAnsi="Times New Roman" w:cs="Times New Roman"/>
          <w:b/>
          <w:i/>
          <w:sz w:val="24"/>
          <w:szCs w:val="24"/>
        </w:rPr>
        <w:t>Net Operating Assets</w:t>
      </w:r>
    </w:p>
    <w:p w:rsidR="00DF06F1" w:rsidRDefault="00DF06F1" w:rsidP="00043BF6">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ab/>
        <w:t>Apple Inc.</w:t>
      </w:r>
    </w:p>
    <w:p w:rsidR="00725492" w:rsidRDefault="00B577F2" w:rsidP="00043BF6">
      <w:pPr>
        <w:spacing w:line="480" w:lineRule="auto"/>
        <w:rPr>
          <w:rFonts w:ascii="Times New Roman" w:hAnsi="Times New Roman" w:cs="Times New Roman"/>
          <w:sz w:val="24"/>
          <w:szCs w:val="24"/>
        </w:rPr>
      </w:pPr>
      <w:r>
        <w:rPr>
          <w:rFonts w:ascii="Times New Roman" w:hAnsi="Times New Roman" w:cs="Times New Roman"/>
          <w:b/>
          <w:i/>
          <w:sz w:val="24"/>
          <w:szCs w:val="24"/>
        </w:rPr>
        <w:tab/>
      </w:r>
      <w:r w:rsidR="00F613DD" w:rsidRPr="00B577F2">
        <w:rPr>
          <w:rFonts w:ascii="Times New Roman" w:hAnsi="Times New Roman" w:cs="Times New Roman"/>
          <w:sz w:val="24"/>
          <w:szCs w:val="24"/>
        </w:rPr>
        <w:t>Net operational assets (NOA) are the net worth of a company's assets used in its core business activities.</w:t>
      </w:r>
      <w:r w:rsidR="00F613DD">
        <w:rPr>
          <w:rFonts w:ascii="Times New Roman" w:hAnsi="Times New Roman" w:cs="Times New Roman"/>
          <w:sz w:val="24"/>
          <w:szCs w:val="24"/>
        </w:rPr>
        <w:t xml:space="preserve"> </w:t>
      </w:r>
      <w:r w:rsidRPr="00B577F2">
        <w:rPr>
          <w:rFonts w:ascii="Times New Roman" w:hAnsi="Times New Roman" w:cs="Times New Roman"/>
          <w:sz w:val="24"/>
          <w:szCs w:val="24"/>
        </w:rPr>
        <w:t>A company's ability to produce revenue from operations from its core operational assets may be gauged by looking a</w:t>
      </w:r>
      <w:r w:rsidR="00725492">
        <w:rPr>
          <w:rFonts w:ascii="Times New Roman" w:hAnsi="Times New Roman" w:cs="Times New Roman"/>
          <w:sz w:val="24"/>
          <w:szCs w:val="24"/>
        </w:rPr>
        <w:t>t its Net Operating Assets (NOA)</w:t>
      </w:r>
      <w:r w:rsidRPr="00B577F2">
        <w:rPr>
          <w:rFonts w:ascii="Times New Roman" w:hAnsi="Times New Roman" w:cs="Times New Roman"/>
          <w:sz w:val="24"/>
          <w:szCs w:val="24"/>
        </w:rPr>
        <w:t>.</w:t>
      </w:r>
      <w:r w:rsidR="002F76E1">
        <w:rPr>
          <w:rFonts w:ascii="Times New Roman" w:hAnsi="Times New Roman" w:cs="Times New Roman"/>
          <w:sz w:val="24"/>
          <w:szCs w:val="24"/>
        </w:rPr>
        <w:t xml:space="preserve"> </w:t>
      </w:r>
      <w:r w:rsidR="002F76E1" w:rsidRPr="002F76E1">
        <w:rPr>
          <w:rFonts w:ascii="Times New Roman" w:hAnsi="Times New Roman" w:cs="Times New Roman"/>
          <w:sz w:val="24"/>
          <w:szCs w:val="24"/>
        </w:rPr>
        <w:t>Over the last five years, App</w:t>
      </w:r>
      <w:r w:rsidR="002F76E1">
        <w:rPr>
          <w:rFonts w:ascii="Times New Roman" w:hAnsi="Times New Roman" w:cs="Times New Roman"/>
          <w:sz w:val="24"/>
          <w:szCs w:val="24"/>
        </w:rPr>
        <w:t>le's NOA has steadily declined</w:t>
      </w:r>
      <w:r w:rsidR="00F44FF8">
        <w:rPr>
          <w:rFonts w:ascii="Times New Roman" w:hAnsi="Times New Roman" w:cs="Times New Roman"/>
          <w:sz w:val="24"/>
          <w:szCs w:val="24"/>
        </w:rPr>
        <w:t xml:space="preserve"> at an annual average of 5%</w:t>
      </w:r>
      <w:r w:rsidR="002F76E1">
        <w:rPr>
          <w:rFonts w:ascii="Times New Roman" w:hAnsi="Times New Roman" w:cs="Times New Roman"/>
          <w:sz w:val="24"/>
          <w:szCs w:val="24"/>
        </w:rPr>
        <w:t xml:space="preserve">. </w:t>
      </w:r>
      <w:r w:rsidR="002F76E1" w:rsidRPr="002F76E1">
        <w:rPr>
          <w:rFonts w:ascii="Times New Roman" w:hAnsi="Times New Roman" w:cs="Times New Roman"/>
          <w:sz w:val="24"/>
          <w:szCs w:val="24"/>
        </w:rPr>
        <w:t>The decline in NOA indicates that Apple has been relying less on its net operating assets to fund its main business activities and create profits.</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725492" w:rsidTr="002F76E1">
        <w:tc>
          <w:tcPr>
            <w:tcW w:w="1566" w:type="dxa"/>
          </w:tcPr>
          <w:p w:rsidR="00725492" w:rsidRDefault="00725492" w:rsidP="00043BF6">
            <w:pPr>
              <w:spacing w:line="480" w:lineRule="auto"/>
              <w:rPr>
                <w:rFonts w:ascii="Times New Roman" w:hAnsi="Times New Roman" w:cs="Times New Roman"/>
                <w:sz w:val="24"/>
                <w:szCs w:val="24"/>
              </w:rPr>
            </w:pPr>
            <w:r>
              <w:rPr>
                <w:rFonts w:ascii="Times New Roman" w:hAnsi="Times New Roman" w:cs="Times New Roman"/>
                <w:sz w:val="24"/>
                <w:szCs w:val="24"/>
              </w:rPr>
              <w:t>Data Items in millions</w:t>
            </w:r>
          </w:p>
        </w:tc>
        <w:tc>
          <w:tcPr>
            <w:tcW w:w="1566" w:type="dxa"/>
          </w:tcPr>
          <w:p w:rsidR="00725492"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2022</w:t>
            </w:r>
          </w:p>
        </w:tc>
        <w:tc>
          <w:tcPr>
            <w:tcW w:w="1566" w:type="dxa"/>
          </w:tcPr>
          <w:p w:rsidR="00725492"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2021</w:t>
            </w:r>
          </w:p>
        </w:tc>
        <w:tc>
          <w:tcPr>
            <w:tcW w:w="1566" w:type="dxa"/>
          </w:tcPr>
          <w:p w:rsidR="00725492"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2020</w:t>
            </w:r>
          </w:p>
        </w:tc>
        <w:tc>
          <w:tcPr>
            <w:tcW w:w="1566" w:type="dxa"/>
          </w:tcPr>
          <w:p w:rsidR="00725492"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2019</w:t>
            </w:r>
          </w:p>
        </w:tc>
        <w:tc>
          <w:tcPr>
            <w:tcW w:w="1566" w:type="dxa"/>
          </w:tcPr>
          <w:p w:rsidR="00725492"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2018</w:t>
            </w:r>
          </w:p>
        </w:tc>
      </w:tr>
      <w:tr w:rsidR="000233EB" w:rsidTr="002F76E1">
        <w:tc>
          <w:tcPr>
            <w:tcW w:w="1566" w:type="dxa"/>
          </w:tcPr>
          <w:p w:rsidR="000233EB"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Net debt</w:t>
            </w:r>
          </w:p>
        </w:tc>
        <w:tc>
          <w:tcPr>
            <w:tcW w:w="1566" w:type="dxa"/>
          </w:tcPr>
          <w:p w:rsidR="000233EB" w:rsidRPr="00E452BB" w:rsidRDefault="000233EB" w:rsidP="00043BF6">
            <w:pPr>
              <w:spacing w:line="480" w:lineRule="auto"/>
              <w:jc w:val="center"/>
              <w:rPr>
                <w:rFonts w:ascii="Times New Roman" w:hAnsi="Times New Roman" w:cs="Times New Roman"/>
                <w:sz w:val="24"/>
                <w:szCs w:val="24"/>
              </w:rPr>
            </w:pPr>
            <w:r w:rsidRPr="00E452BB">
              <w:rPr>
                <w:rFonts w:ascii="Times New Roman" w:hAnsi="Times New Roman" w:cs="Times New Roman"/>
                <w:sz w:val="24"/>
                <w:szCs w:val="24"/>
              </w:rPr>
              <w:t>110087</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118719</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107440</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102067</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102519</w:t>
            </w:r>
          </w:p>
        </w:tc>
      </w:tr>
      <w:tr w:rsidR="000233EB" w:rsidTr="002F76E1">
        <w:tc>
          <w:tcPr>
            <w:tcW w:w="1566" w:type="dxa"/>
          </w:tcPr>
          <w:p w:rsidR="000233EB" w:rsidRDefault="000233EB" w:rsidP="00043BF6">
            <w:pPr>
              <w:spacing w:line="480" w:lineRule="auto"/>
              <w:rPr>
                <w:rFonts w:ascii="Times New Roman" w:hAnsi="Times New Roman" w:cs="Times New Roman"/>
                <w:sz w:val="24"/>
                <w:szCs w:val="24"/>
              </w:rPr>
            </w:pPr>
            <w:r>
              <w:rPr>
                <w:rFonts w:ascii="Times New Roman" w:hAnsi="Times New Roman" w:cs="Times New Roman"/>
                <w:sz w:val="24"/>
                <w:szCs w:val="24"/>
              </w:rPr>
              <w:t>Shareholders’ equity</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63090</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65339</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90488</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90488</w:t>
            </w:r>
          </w:p>
        </w:tc>
        <w:tc>
          <w:tcPr>
            <w:tcW w:w="1566" w:type="dxa"/>
          </w:tcPr>
          <w:p w:rsidR="000233EB" w:rsidRPr="00E452BB" w:rsidRDefault="000233E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107147</w:t>
            </w:r>
          </w:p>
        </w:tc>
      </w:tr>
      <w:tr w:rsidR="002F76E1" w:rsidTr="002F76E1">
        <w:tc>
          <w:tcPr>
            <w:tcW w:w="1566" w:type="dxa"/>
          </w:tcPr>
          <w:p w:rsidR="002F76E1" w:rsidRDefault="002F76E1" w:rsidP="00043BF6">
            <w:pPr>
              <w:spacing w:line="480" w:lineRule="auto"/>
              <w:rPr>
                <w:rFonts w:ascii="Times New Roman" w:hAnsi="Times New Roman" w:cs="Times New Roman"/>
                <w:sz w:val="24"/>
                <w:szCs w:val="24"/>
              </w:rPr>
            </w:pPr>
            <w:r>
              <w:rPr>
                <w:rFonts w:ascii="Times New Roman" w:hAnsi="Times New Roman" w:cs="Times New Roman"/>
                <w:sz w:val="24"/>
                <w:szCs w:val="24"/>
              </w:rPr>
              <w:t>NOA</w:t>
            </w:r>
          </w:p>
        </w:tc>
        <w:tc>
          <w:tcPr>
            <w:tcW w:w="1566" w:type="dxa"/>
          </w:tcPr>
          <w:p w:rsidR="002F76E1" w:rsidRPr="002F76E1" w:rsidRDefault="002F76E1" w:rsidP="00043BF6">
            <w:pPr>
              <w:spacing w:line="480" w:lineRule="auto"/>
              <w:jc w:val="right"/>
              <w:rPr>
                <w:rFonts w:ascii="Calibri" w:eastAsia="Times New Roman" w:hAnsi="Calibri" w:cs="Calibri"/>
                <w:color w:val="000000"/>
              </w:rPr>
            </w:pPr>
            <w:r w:rsidRPr="002F76E1">
              <w:rPr>
                <w:rFonts w:ascii="Calibri" w:eastAsia="Times New Roman" w:hAnsi="Calibri" w:cs="Calibri"/>
                <w:color w:val="000000"/>
              </w:rPr>
              <w:t>173177</w:t>
            </w:r>
          </w:p>
        </w:tc>
        <w:tc>
          <w:tcPr>
            <w:tcW w:w="1566" w:type="dxa"/>
          </w:tcPr>
          <w:p w:rsidR="002F76E1" w:rsidRPr="002F76E1" w:rsidRDefault="002F76E1" w:rsidP="00043BF6">
            <w:pPr>
              <w:spacing w:line="480" w:lineRule="auto"/>
              <w:jc w:val="right"/>
              <w:rPr>
                <w:rFonts w:ascii="Calibri" w:eastAsia="Times New Roman" w:hAnsi="Calibri" w:cs="Calibri"/>
                <w:color w:val="000000"/>
              </w:rPr>
            </w:pPr>
            <w:r w:rsidRPr="002F76E1">
              <w:rPr>
                <w:rFonts w:ascii="Calibri" w:eastAsia="Times New Roman" w:hAnsi="Calibri" w:cs="Calibri"/>
                <w:color w:val="000000"/>
              </w:rPr>
              <w:t>184058</w:t>
            </w:r>
          </w:p>
        </w:tc>
        <w:tc>
          <w:tcPr>
            <w:tcW w:w="1566" w:type="dxa"/>
          </w:tcPr>
          <w:p w:rsidR="002F76E1" w:rsidRPr="002F76E1" w:rsidRDefault="002F76E1" w:rsidP="00043BF6">
            <w:pPr>
              <w:spacing w:line="480" w:lineRule="auto"/>
              <w:jc w:val="right"/>
              <w:rPr>
                <w:rFonts w:ascii="Calibri" w:eastAsia="Times New Roman" w:hAnsi="Calibri" w:cs="Calibri"/>
                <w:color w:val="000000"/>
              </w:rPr>
            </w:pPr>
            <w:r w:rsidRPr="002F76E1">
              <w:rPr>
                <w:rFonts w:ascii="Calibri" w:eastAsia="Times New Roman" w:hAnsi="Calibri" w:cs="Calibri"/>
                <w:color w:val="000000"/>
              </w:rPr>
              <w:t>197928</w:t>
            </w:r>
          </w:p>
        </w:tc>
        <w:tc>
          <w:tcPr>
            <w:tcW w:w="1566" w:type="dxa"/>
          </w:tcPr>
          <w:p w:rsidR="002F76E1" w:rsidRPr="002F76E1" w:rsidRDefault="002F76E1" w:rsidP="00043BF6">
            <w:pPr>
              <w:spacing w:line="480" w:lineRule="auto"/>
              <w:jc w:val="right"/>
              <w:rPr>
                <w:rFonts w:ascii="Calibri" w:eastAsia="Times New Roman" w:hAnsi="Calibri" w:cs="Calibri"/>
                <w:color w:val="000000"/>
              </w:rPr>
            </w:pPr>
            <w:r w:rsidRPr="002F76E1">
              <w:rPr>
                <w:rFonts w:ascii="Calibri" w:eastAsia="Times New Roman" w:hAnsi="Calibri" w:cs="Calibri"/>
                <w:color w:val="000000"/>
              </w:rPr>
              <w:t>192555</w:t>
            </w:r>
          </w:p>
        </w:tc>
        <w:tc>
          <w:tcPr>
            <w:tcW w:w="1566" w:type="dxa"/>
          </w:tcPr>
          <w:p w:rsidR="002F76E1" w:rsidRPr="002F76E1" w:rsidRDefault="002F76E1" w:rsidP="00043BF6">
            <w:pPr>
              <w:spacing w:line="480" w:lineRule="auto"/>
              <w:jc w:val="right"/>
              <w:rPr>
                <w:rFonts w:ascii="Calibri" w:eastAsia="Times New Roman" w:hAnsi="Calibri" w:cs="Calibri"/>
                <w:color w:val="000000"/>
              </w:rPr>
            </w:pPr>
            <w:r w:rsidRPr="002F76E1">
              <w:rPr>
                <w:rFonts w:ascii="Calibri" w:eastAsia="Times New Roman" w:hAnsi="Calibri" w:cs="Calibri"/>
                <w:color w:val="000000"/>
              </w:rPr>
              <w:t>209666</w:t>
            </w:r>
          </w:p>
        </w:tc>
      </w:tr>
    </w:tbl>
    <w:p w:rsidR="008E6A60" w:rsidRPr="00E362BE" w:rsidRDefault="00B577F2" w:rsidP="00043BF6">
      <w:pPr>
        <w:spacing w:line="480" w:lineRule="auto"/>
        <w:rPr>
          <w:rFonts w:ascii="Times New Roman" w:hAnsi="Times New Roman" w:cs="Times New Roman"/>
          <w:b/>
          <w:i/>
          <w:sz w:val="24"/>
          <w:szCs w:val="24"/>
        </w:rPr>
      </w:pPr>
      <w:r w:rsidRPr="00E362BE">
        <w:rPr>
          <w:rFonts w:ascii="Times New Roman" w:hAnsi="Times New Roman" w:cs="Times New Roman"/>
          <w:i/>
          <w:sz w:val="24"/>
          <w:szCs w:val="24"/>
        </w:rPr>
        <w:t xml:space="preserve"> </w:t>
      </w:r>
      <w:r w:rsidR="002D23DC" w:rsidRPr="00E362BE">
        <w:rPr>
          <w:rFonts w:ascii="Times New Roman" w:hAnsi="Times New Roman" w:cs="Times New Roman"/>
          <w:i/>
          <w:sz w:val="24"/>
          <w:szCs w:val="24"/>
        </w:rPr>
        <w:t xml:space="preserve">Table 2: Apple Inc. Net </w:t>
      </w:r>
      <w:r w:rsidR="00EF4FDE" w:rsidRPr="00E362BE">
        <w:rPr>
          <w:rFonts w:ascii="Times New Roman" w:hAnsi="Times New Roman" w:cs="Times New Roman"/>
          <w:i/>
          <w:sz w:val="24"/>
          <w:szCs w:val="24"/>
        </w:rPr>
        <w:t>five-year</w:t>
      </w:r>
      <w:r w:rsidR="002D23DC" w:rsidRPr="00E362BE">
        <w:rPr>
          <w:rFonts w:ascii="Times New Roman" w:hAnsi="Times New Roman" w:cs="Times New Roman"/>
          <w:i/>
          <w:sz w:val="24"/>
          <w:szCs w:val="24"/>
        </w:rPr>
        <w:t xml:space="preserve"> net operating assets</w:t>
      </w:r>
    </w:p>
    <w:p w:rsidR="00F43D68" w:rsidRDefault="00F43D68" w:rsidP="00043BF6">
      <w:pPr>
        <w:spacing w:line="480" w:lineRule="auto"/>
        <w:rPr>
          <w:rFonts w:ascii="Times New Roman" w:hAnsi="Times New Roman" w:cs="Times New Roman"/>
          <w:b/>
          <w:i/>
          <w:sz w:val="24"/>
          <w:szCs w:val="24"/>
        </w:rPr>
      </w:pPr>
      <w:r w:rsidRPr="00CA7D73">
        <w:rPr>
          <w:rFonts w:ascii="Times New Roman" w:hAnsi="Times New Roman" w:cs="Times New Roman"/>
          <w:b/>
          <w:sz w:val="24"/>
          <w:szCs w:val="24"/>
        </w:rPr>
        <w:tab/>
      </w:r>
      <w:r w:rsidRPr="00CA7D73">
        <w:rPr>
          <w:rFonts w:ascii="Times New Roman" w:hAnsi="Times New Roman" w:cs="Times New Roman"/>
          <w:b/>
          <w:i/>
          <w:sz w:val="24"/>
          <w:szCs w:val="24"/>
        </w:rPr>
        <w:t>Microsoft Corporation</w:t>
      </w:r>
    </w:p>
    <w:p w:rsidR="009E52ED" w:rsidRPr="009E52ED" w:rsidRDefault="004774F9" w:rsidP="00043BF6">
      <w:pPr>
        <w:spacing w:line="480" w:lineRule="auto"/>
        <w:rPr>
          <w:rFonts w:ascii="Times New Roman" w:hAnsi="Times New Roman" w:cs="Times New Roman"/>
          <w:b/>
          <w:sz w:val="24"/>
          <w:szCs w:val="24"/>
        </w:rPr>
      </w:pPr>
      <w:r>
        <w:rPr>
          <w:rFonts w:ascii="Times New Roman" w:hAnsi="Times New Roman" w:cs="Times New Roman"/>
          <w:b/>
          <w:i/>
          <w:sz w:val="24"/>
          <w:szCs w:val="24"/>
        </w:rPr>
        <w:tab/>
      </w:r>
    </w:p>
    <w:tbl>
      <w:tblPr>
        <w:tblStyle w:val="TableGrid"/>
        <w:tblW w:w="0" w:type="auto"/>
        <w:tblLook w:val="04A0" w:firstRow="1" w:lastRow="0" w:firstColumn="1" w:lastColumn="0" w:noHBand="0" w:noVBand="1"/>
      </w:tblPr>
      <w:tblGrid>
        <w:gridCol w:w="2140"/>
        <w:gridCol w:w="960"/>
        <w:gridCol w:w="960"/>
        <w:gridCol w:w="960"/>
        <w:gridCol w:w="960"/>
        <w:gridCol w:w="960"/>
      </w:tblGrid>
      <w:tr w:rsidR="009B4E1F" w:rsidRPr="009B4E1F" w:rsidTr="009B4E1F">
        <w:trPr>
          <w:trHeight w:val="300"/>
        </w:trPr>
        <w:tc>
          <w:tcPr>
            <w:tcW w:w="214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Data Items in millions</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2022</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2021</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2020</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2019</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2018</w:t>
            </w:r>
          </w:p>
        </w:tc>
      </w:tr>
      <w:tr w:rsidR="009B4E1F" w:rsidRPr="009B4E1F" w:rsidTr="009B4E1F">
        <w:trPr>
          <w:trHeight w:val="300"/>
        </w:trPr>
        <w:tc>
          <w:tcPr>
            <w:tcW w:w="214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Net Debt</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110087</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118719</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107440</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102067</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102519</w:t>
            </w:r>
          </w:p>
        </w:tc>
      </w:tr>
      <w:tr w:rsidR="009B4E1F" w:rsidRPr="009B4E1F" w:rsidTr="009B4E1F">
        <w:trPr>
          <w:trHeight w:val="300"/>
        </w:trPr>
        <w:tc>
          <w:tcPr>
            <w:tcW w:w="214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Shareholder’s Equity</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63090</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65339</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90488</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90488</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107147</w:t>
            </w:r>
          </w:p>
        </w:tc>
      </w:tr>
      <w:tr w:rsidR="009B4E1F" w:rsidRPr="009B4E1F" w:rsidTr="009B4E1F">
        <w:trPr>
          <w:trHeight w:val="300"/>
        </w:trPr>
        <w:tc>
          <w:tcPr>
            <w:tcW w:w="214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NOA</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173177</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184058</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197928</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192555</w:t>
            </w:r>
          </w:p>
        </w:tc>
        <w:tc>
          <w:tcPr>
            <w:tcW w:w="960" w:type="dxa"/>
            <w:noWrap/>
            <w:hideMark/>
          </w:tcPr>
          <w:p w:rsidR="009B4E1F" w:rsidRPr="009B4E1F" w:rsidRDefault="009B4E1F" w:rsidP="00043BF6">
            <w:pPr>
              <w:spacing w:line="480" w:lineRule="auto"/>
              <w:rPr>
                <w:rFonts w:ascii="Times New Roman" w:hAnsi="Times New Roman" w:cs="Times New Roman"/>
                <w:sz w:val="24"/>
                <w:szCs w:val="24"/>
              </w:rPr>
            </w:pPr>
            <w:r w:rsidRPr="009B4E1F">
              <w:rPr>
                <w:rFonts w:ascii="Times New Roman" w:hAnsi="Times New Roman" w:cs="Times New Roman"/>
                <w:sz w:val="24"/>
                <w:szCs w:val="24"/>
              </w:rPr>
              <w:t>209666</w:t>
            </w:r>
          </w:p>
        </w:tc>
      </w:tr>
    </w:tbl>
    <w:p w:rsidR="004774F9" w:rsidRDefault="00EF4FDE" w:rsidP="00043BF6">
      <w:pPr>
        <w:spacing w:line="480" w:lineRule="auto"/>
        <w:rPr>
          <w:rFonts w:ascii="Times New Roman" w:hAnsi="Times New Roman" w:cs="Times New Roman"/>
          <w:b/>
          <w:sz w:val="24"/>
          <w:szCs w:val="24"/>
        </w:rPr>
      </w:pPr>
      <w:r>
        <w:rPr>
          <w:rFonts w:ascii="Times New Roman" w:hAnsi="Times New Roman" w:cs="Times New Roman"/>
          <w:i/>
          <w:sz w:val="24"/>
          <w:szCs w:val="24"/>
        </w:rPr>
        <w:lastRenderedPageBreak/>
        <w:t>Table 3: Microsoft Corporation</w:t>
      </w:r>
      <w:r w:rsidRPr="00E362BE">
        <w:rPr>
          <w:rFonts w:ascii="Times New Roman" w:hAnsi="Times New Roman" w:cs="Times New Roman"/>
          <w:i/>
          <w:sz w:val="24"/>
          <w:szCs w:val="24"/>
        </w:rPr>
        <w:t>. Net five-year net operating assets</w:t>
      </w:r>
    </w:p>
    <w:p w:rsidR="009B4E1F" w:rsidRPr="00CD57BF" w:rsidRDefault="009B4E1F" w:rsidP="00043BF6">
      <w:pPr>
        <w:spacing w:line="480" w:lineRule="auto"/>
        <w:rPr>
          <w:rFonts w:ascii="Times New Roman" w:hAnsi="Times New Roman" w:cs="Times New Roman"/>
          <w:sz w:val="24"/>
          <w:szCs w:val="24"/>
        </w:rPr>
      </w:pPr>
      <w:r>
        <w:rPr>
          <w:rFonts w:ascii="Times New Roman" w:hAnsi="Times New Roman" w:cs="Times New Roman"/>
          <w:b/>
          <w:sz w:val="24"/>
          <w:szCs w:val="24"/>
        </w:rPr>
        <w:tab/>
      </w:r>
      <w:r w:rsidRPr="00CD57BF">
        <w:rPr>
          <w:rFonts w:ascii="Times New Roman" w:hAnsi="Times New Roman" w:cs="Times New Roman"/>
          <w:sz w:val="24"/>
          <w:szCs w:val="24"/>
        </w:rPr>
        <w:t>The net operating assets, has changed significantly over time. Net operational assets are defined as an organization's assets less its liabilities. Microsoft's has varied from $206,666 million in 2018 to a low of $184,058 million in 2021. Changes in the mix of the business's liabilities and assets as well as the efficiency with which they generate returns are ref</w:t>
      </w:r>
      <w:r w:rsidR="00D1549F" w:rsidRPr="00CD57BF">
        <w:rPr>
          <w:rFonts w:ascii="Times New Roman" w:hAnsi="Times New Roman" w:cs="Times New Roman"/>
          <w:sz w:val="24"/>
          <w:szCs w:val="24"/>
        </w:rPr>
        <w:t>lected in the variation in NOA.</w:t>
      </w:r>
    </w:p>
    <w:p w:rsidR="009B4E1F" w:rsidRDefault="009B4E1F" w:rsidP="00043BF6">
      <w:pPr>
        <w:spacing w:line="480" w:lineRule="auto"/>
        <w:ind w:firstLine="720"/>
        <w:rPr>
          <w:rFonts w:ascii="Times New Roman" w:hAnsi="Times New Roman" w:cs="Times New Roman"/>
          <w:sz w:val="24"/>
          <w:szCs w:val="24"/>
        </w:rPr>
      </w:pPr>
      <w:r w:rsidRPr="00CD57BF">
        <w:rPr>
          <w:rFonts w:ascii="Times New Roman" w:hAnsi="Times New Roman" w:cs="Times New Roman"/>
          <w:sz w:val="24"/>
          <w:szCs w:val="24"/>
        </w:rPr>
        <w:t xml:space="preserve"> Microsoft's NOA growth over time demonstrates the company's proactive strategy for managing its resources and debts for enhanced profitability and reduced risk. While a falling Net Debt is indicative of responsible financial management, NOA variations point to agile oversight of working capital and efficient asset utilization.</w:t>
      </w:r>
    </w:p>
    <w:p w:rsidR="000053FE" w:rsidRPr="00E173FE" w:rsidRDefault="000053FE" w:rsidP="00043BF6">
      <w:pPr>
        <w:spacing w:line="480" w:lineRule="auto"/>
        <w:ind w:firstLine="720"/>
        <w:rPr>
          <w:rFonts w:ascii="Times New Roman" w:hAnsi="Times New Roman" w:cs="Times New Roman"/>
          <w:b/>
          <w:i/>
          <w:sz w:val="24"/>
          <w:szCs w:val="24"/>
        </w:rPr>
      </w:pPr>
      <w:r w:rsidRPr="00E173FE">
        <w:rPr>
          <w:rFonts w:ascii="Times New Roman" w:hAnsi="Times New Roman" w:cs="Times New Roman"/>
          <w:b/>
          <w:i/>
          <w:sz w:val="24"/>
          <w:szCs w:val="24"/>
        </w:rPr>
        <w:t>Company comparison</w:t>
      </w:r>
    </w:p>
    <w:p w:rsidR="00E173FE" w:rsidRDefault="00F34D37" w:rsidP="00043BF6">
      <w:pPr>
        <w:spacing w:line="480" w:lineRule="auto"/>
        <w:ind w:firstLine="720"/>
        <w:rPr>
          <w:rFonts w:ascii="Times New Roman" w:hAnsi="Times New Roman" w:cs="Times New Roman"/>
          <w:sz w:val="24"/>
          <w:szCs w:val="24"/>
        </w:rPr>
      </w:pPr>
      <w:r w:rsidRPr="00F34D37">
        <w:rPr>
          <w:rFonts w:ascii="Times New Roman" w:hAnsi="Times New Roman" w:cs="Times New Roman"/>
          <w:sz w:val="24"/>
          <w:szCs w:val="24"/>
        </w:rPr>
        <w:t>All of a company's resources, from cash on hand to patents to physical infrastructure, are included among its assets. AAPL has accumulated $354.05 billion in total assets as per the most recent financial report. AAPL's assets soared in 2017 at $375.32 billion, and they have decreased by $11.67 billion (-3.19%) during the preceding three fiscal years</w:t>
      </w:r>
      <w:r w:rsidR="009A351F">
        <w:rPr>
          <w:rFonts w:ascii="Times New Roman" w:hAnsi="Times New Roman" w:cs="Times New Roman"/>
          <w:sz w:val="24"/>
          <w:szCs w:val="24"/>
        </w:rPr>
        <w:t xml:space="preserve"> </w:t>
      </w:r>
      <w:r w:rsidR="009A351F" w:rsidRPr="009A351F">
        <w:rPr>
          <w:rFonts w:ascii="Times New Roman" w:hAnsi="Times New Roman" w:cs="Times New Roman"/>
          <w:sz w:val="24"/>
          <w:szCs w:val="24"/>
        </w:rPr>
        <w:t>(Fiorillo, 2022)</w:t>
      </w:r>
      <w:r w:rsidRPr="00F34D37">
        <w:rPr>
          <w:rFonts w:ascii="Times New Roman" w:hAnsi="Times New Roman" w:cs="Times New Roman"/>
          <w:sz w:val="24"/>
          <w:szCs w:val="24"/>
        </w:rPr>
        <w:t>. At the conclusion of the TTM, MSFT had a total asset value of $304.14 billion. In contrast to AAPL, MSFT has consistently grown year after year. MSFT's assets have increased by $110.67 billion (57.20%) during the previous 5 years, and $45.29 billion (17.50%) over the past 3 years</w:t>
      </w:r>
      <w:r w:rsidR="009E15DC">
        <w:rPr>
          <w:rFonts w:ascii="Times New Roman" w:hAnsi="Times New Roman" w:cs="Times New Roman"/>
          <w:sz w:val="24"/>
          <w:szCs w:val="24"/>
        </w:rPr>
        <w:t xml:space="preserve"> </w:t>
      </w:r>
      <w:r w:rsidR="009E15DC" w:rsidRPr="009E15DC">
        <w:rPr>
          <w:rFonts w:ascii="Times New Roman" w:hAnsi="Times New Roman" w:cs="Times New Roman"/>
          <w:sz w:val="24"/>
          <w:szCs w:val="24"/>
        </w:rPr>
        <w:t>(Fiorillo, 2022)</w:t>
      </w:r>
      <w:r w:rsidRPr="00F34D37">
        <w:rPr>
          <w:rFonts w:ascii="Times New Roman" w:hAnsi="Times New Roman" w:cs="Times New Roman"/>
          <w:sz w:val="24"/>
          <w:szCs w:val="24"/>
        </w:rPr>
        <w:t>. The typical yearly growth rate for MSFT's total assets was 9.92% during a period of five years and 5.60% over a period of three years, whereas the average annual growth rate for AAPL's total assets was -0.82%</w:t>
      </w:r>
      <w:r w:rsidR="00134A3C">
        <w:rPr>
          <w:rFonts w:ascii="Times New Roman" w:hAnsi="Times New Roman" w:cs="Times New Roman"/>
          <w:sz w:val="24"/>
          <w:szCs w:val="24"/>
        </w:rPr>
        <w:t xml:space="preserve"> </w:t>
      </w:r>
      <w:r w:rsidR="00134A3C" w:rsidRPr="00134A3C">
        <w:rPr>
          <w:rFonts w:ascii="Times New Roman" w:hAnsi="Times New Roman" w:cs="Times New Roman"/>
          <w:sz w:val="24"/>
          <w:szCs w:val="24"/>
        </w:rPr>
        <w:t>(Fiorillo, 2022)</w:t>
      </w:r>
      <w:r w:rsidRPr="00F34D37">
        <w:rPr>
          <w:rFonts w:ascii="Times New Roman" w:hAnsi="Times New Roman" w:cs="Times New Roman"/>
          <w:sz w:val="24"/>
          <w:szCs w:val="24"/>
        </w:rPr>
        <w:t>.</w:t>
      </w:r>
    </w:p>
    <w:p w:rsidR="004E2B79" w:rsidRDefault="004E2B79" w:rsidP="00043BF6">
      <w:pPr>
        <w:spacing w:line="480" w:lineRule="auto"/>
        <w:ind w:firstLine="720"/>
        <w:rPr>
          <w:rFonts w:ascii="Times New Roman" w:hAnsi="Times New Roman" w:cs="Times New Roman"/>
          <w:sz w:val="24"/>
          <w:szCs w:val="24"/>
        </w:rPr>
      </w:pPr>
      <w:r w:rsidRPr="004E2B79">
        <w:rPr>
          <w:rFonts w:ascii="Times New Roman" w:hAnsi="Times New Roman" w:cs="Times New Roman"/>
          <w:sz w:val="24"/>
          <w:szCs w:val="24"/>
        </w:rPr>
        <w:lastRenderedPageBreak/>
        <w:drawing>
          <wp:inline distT="0" distB="0" distL="0" distR="0" wp14:anchorId="61E82022" wp14:editId="35FB8944">
            <wp:extent cx="5525271" cy="319132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5271" cy="3191320"/>
                    </a:xfrm>
                    <a:prstGeom prst="rect">
                      <a:avLst/>
                    </a:prstGeom>
                  </pic:spPr>
                </pic:pic>
              </a:graphicData>
            </a:graphic>
          </wp:inline>
        </w:drawing>
      </w:r>
    </w:p>
    <w:p w:rsidR="004E2B79" w:rsidRPr="000F524A" w:rsidRDefault="004E2B79" w:rsidP="00043BF6">
      <w:pPr>
        <w:spacing w:line="480" w:lineRule="auto"/>
        <w:ind w:firstLine="720"/>
        <w:rPr>
          <w:rFonts w:ascii="Times New Roman" w:hAnsi="Times New Roman" w:cs="Times New Roman"/>
          <w:i/>
          <w:sz w:val="24"/>
          <w:szCs w:val="24"/>
        </w:rPr>
      </w:pPr>
      <w:r w:rsidRPr="000F524A">
        <w:rPr>
          <w:rFonts w:ascii="Times New Roman" w:hAnsi="Times New Roman" w:cs="Times New Roman"/>
          <w:i/>
          <w:sz w:val="24"/>
          <w:szCs w:val="24"/>
        </w:rPr>
        <w:t xml:space="preserve">Figure </w:t>
      </w:r>
      <w:r w:rsidR="00802E42">
        <w:rPr>
          <w:rFonts w:ascii="Times New Roman" w:hAnsi="Times New Roman" w:cs="Times New Roman"/>
          <w:i/>
          <w:sz w:val="24"/>
          <w:szCs w:val="24"/>
        </w:rPr>
        <w:t>3: Comparison of</w:t>
      </w:r>
      <w:r w:rsidRPr="000F524A">
        <w:rPr>
          <w:rFonts w:ascii="Times New Roman" w:hAnsi="Times New Roman" w:cs="Times New Roman"/>
          <w:i/>
          <w:sz w:val="24"/>
          <w:szCs w:val="24"/>
        </w:rPr>
        <w:t xml:space="preserve"> Apple’s and Microsoft’s Assets</w:t>
      </w:r>
    </w:p>
    <w:p w:rsidR="00F94429" w:rsidRPr="00E91D99" w:rsidRDefault="00F94429" w:rsidP="00043BF6">
      <w:pPr>
        <w:spacing w:line="480" w:lineRule="auto"/>
        <w:rPr>
          <w:rFonts w:ascii="Times New Roman" w:hAnsi="Times New Roman" w:cs="Times New Roman"/>
          <w:b/>
          <w:sz w:val="24"/>
          <w:szCs w:val="24"/>
        </w:rPr>
      </w:pPr>
      <w:r w:rsidRPr="00E91D99">
        <w:rPr>
          <w:rFonts w:ascii="Times New Roman" w:hAnsi="Times New Roman" w:cs="Times New Roman"/>
          <w:b/>
          <w:sz w:val="24"/>
          <w:szCs w:val="24"/>
        </w:rPr>
        <w:t>Leverage</w:t>
      </w:r>
      <w:r w:rsidR="0014272A" w:rsidRPr="00E91D99">
        <w:rPr>
          <w:rFonts w:ascii="Times New Roman" w:hAnsi="Times New Roman" w:cs="Times New Roman"/>
          <w:b/>
          <w:sz w:val="24"/>
          <w:szCs w:val="24"/>
        </w:rPr>
        <w:t xml:space="preserve"> </w:t>
      </w:r>
    </w:p>
    <w:p w:rsidR="002400B6" w:rsidRDefault="00F94429" w:rsidP="00043BF6">
      <w:pPr>
        <w:spacing w:line="480" w:lineRule="auto"/>
        <w:rPr>
          <w:rFonts w:ascii="Times New Roman" w:hAnsi="Times New Roman" w:cs="Times New Roman"/>
          <w:sz w:val="24"/>
          <w:szCs w:val="24"/>
        </w:rPr>
      </w:pPr>
      <w:r w:rsidRPr="00F94429">
        <w:rPr>
          <w:rFonts w:ascii="Times New Roman" w:hAnsi="Times New Roman" w:cs="Times New Roman"/>
          <w:i/>
          <w:sz w:val="24"/>
          <w:szCs w:val="24"/>
        </w:rPr>
        <w:tab/>
      </w:r>
      <w:r w:rsidRPr="00F94429">
        <w:rPr>
          <w:rFonts w:ascii="Times New Roman" w:hAnsi="Times New Roman" w:cs="Times New Roman"/>
          <w:sz w:val="24"/>
          <w:szCs w:val="24"/>
        </w:rPr>
        <w:t>Leverage is assessed</w:t>
      </w:r>
      <w:r>
        <w:rPr>
          <w:rFonts w:ascii="Times New Roman" w:hAnsi="Times New Roman" w:cs="Times New Roman"/>
          <w:sz w:val="24"/>
          <w:szCs w:val="24"/>
        </w:rPr>
        <w:t xml:space="preserve"> thr</w:t>
      </w:r>
      <w:r w:rsidR="00D50841">
        <w:rPr>
          <w:rFonts w:ascii="Times New Roman" w:hAnsi="Times New Roman" w:cs="Times New Roman"/>
          <w:sz w:val="24"/>
          <w:szCs w:val="24"/>
        </w:rPr>
        <w:t>ough the leverage ratio which assesses</w:t>
      </w:r>
      <w:r>
        <w:rPr>
          <w:rFonts w:ascii="Times New Roman" w:hAnsi="Times New Roman" w:cs="Times New Roman"/>
          <w:sz w:val="24"/>
          <w:szCs w:val="24"/>
        </w:rPr>
        <w:t xml:space="preserve"> the ability of a company to meet its financial obligations</w:t>
      </w:r>
      <w:r w:rsidR="00D50841">
        <w:rPr>
          <w:rFonts w:ascii="Times New Roman" w:hAnsi="Times New Roman" w:cs="Times New Roman"/>
          <w:sz w:val="24"/>
          <w:szCs w:val="24"/>
        </w:rPr>
        <w:t xml:space="preserve">. The leverage ratio can give a picture of the direct positive effect on the ROE as a results of indirect negative results through increasing financial risks and costs of borrowing. </w:t>
      </w:r>
      <w:r w:rsidR="0014272A">
        <w:rPr>
          <w:rFonts w:ascii="Times New Roman" w:hAnsi="Times New Roman" w:cs="Times New Roman"/>
          <w:sz w:val="24"/>
          <w:szCs w:val="24"/>
        </w:rPr>
        <w:t>The leverage can be viewed</w:t>
      </w:r>
      <w:r w:rsidR="00FC5BD8">
        <w:rPr>
          <w:rFonts w:ascii="Times New Roman" w:hAnsi="Times New Roman" w:cs="Times New Roman"/>
          <w:sz w:val="24"/>
          <w:szCs w:val="24"/>
        </w:rPr>
        <w:t xml:space="preserve"> through the net financial leverage</w:t>
      </w:r>
      <w:r w:rsidR="00EF1899">
        <w:rPr>
          <w:rFonts w:ascii="Times New Roman" w:hAnsi="Times New Roman" w:cs="Times New Roman"/>
          <w:sz w:val="24"/>
          <w:szCs w:val="24"/>
        </w:rPr>
        <w:t xml:space="preserve"> as well as spread. </w:t>
      </w:r>
    </w:p>
    <w:p w:rsidR="002C6C2C" w:rsidRPr="00DC709E" w:rsidRDefault="003E7DF6" w:rsidP="00043BF6">
      <w:pPr>
        <w:spacing w:line="480" w:lineRule="auto"/>
        <w:rPr>
          <w:rFonts w:ascii="Times New Roman" w:hAnsi="Times New Roman" w:cs="Times New Roman"/>
          <w:b/>
          <w:i/>
          <w:sz w:val="24"/>
          <w:szCs w:val="24"/>
        </w:rPr>
      </w:pPr>
      <w:r>
        <w:rPr>
          <w:rFonts w:ascii="Times New Roman" w:hAnsi="Times New Roman" w:cs="Times New Roman"/>
          <w:b/>
          <w:i/>
          <w:sz w:val="24"/>
          <w:szCs w:val="24"/>
        </w:rPr>
        <w:t>Apple’s Leverage Outlook</w:t>
      </w:r>
    </w:p>
    <w:p w:rsidR="005B286F" w:rsidRPr="008843E6" w:rsidRDefault="00AC5F27" w:rsidP="00043BF6">
      <w:pPr>
        <w:spacing w:line="480" w:lineRule="auto"/>
        <w:rPr>
          <w:rFonts w:ascii="Times New Roman" w:hAnsi="Times New Roman" w:cs="Times New Roman"/>
          <w:sz w:val="24"/>
          <w:szCs w:val="24"/>
        </w:rPr>
      </w:pPr>
      <w:r>
        <w:rPr>
          <w:rFonts w:ascii="Times New Roman" w:hAnsi="Times New Roman" w:cs="Times New Roman"/>
          <w:b/>
          <w:sz w:val="24"/>
          <w:szCs w:val="24"/>
        </w:rPr>
        <w:tab/>
      </w:r>
      <w:r w:rsidR="008843E6">
        <w:rPr>
          <w:rFonts w:ascii="Times New Roman" w:hAnsi="Times New Roman" w:cs="Times New Roman"/>
          <w:sz w:val="24"/>
          <w:szCs w:val="24"/>
        </w:rPr>
        <w:t>Apple’s Inc. five year all time high debt/equity</w:t>
      </w:r>
      <w:r w:rsidR="00DF1232">
        <w:rPr>
          <w:rFonts w:ascii="Times New Roman" w:hAnsi="Times New Roman" w:cs="Times New Roman"/>
          <w:sz w:val="24"/>
          <w:szCs w:val="24"/>
        </w:rPr>
        <w:t xml:space="preserve"> was 1.8170 in 2021</w:t>
      </w:r>
      <w:r w:rsidR="008843E6">
        <w:rPr>
          <w:rFonts w:ascii="Times New Roman" w:hAnsi="Times New Roman" w:cs="Times New Roman"/>
          <w:sz w:val="24"/>
          <w:szCs w:val="24"/>
        </w:rPr>
        <w:t xml:space="preserve">. </w:t>
      </w:r>
      <w:r w:rsidR="00DF1232">
        <w:rPr>
          <w:rFonts w:ascii="Times New Roman" w:hAnsi="Times New Roman" w:cs="Times New Roman"/>
          <w:sz w:val="24"/>
          <w:szCs w:val="24"/>
        </w:rPr>
        <w:t>Although the debt to equity ratio decreased by 0.0721 in 20222 a</w:t>
      </w:r>
      <w:r w:rsidR="008843E6" w:rsidRPr="008843E6">
        <w:rPr>
          <w:rFonts w:ascii="Times New Roman" w:hAnsi="Times New Roman" w:cs="Times New Roman"/>
          <w:sz w:val="24"/>
          <w:szCs w:val="24"/>
        </w:rPr>
        <w:t> debt-to-equity ratio</w:t>
      </w:r>
      <w:r w:rsidR="00DF1232">
        <w:rPr>
          <w:rFonts w:ascii="Times New Roman" w:hAnsi="Times New Roman" w:cs="Times New Roman"/>
          <w:sz w:val="24"/>
          <w:szCs w:val="24"/>
        </w:rPr>
        <w:t xml:space="preserve"> of 1.7449</w:t>
      </w:r>
      <w:r w:rsidR="008843E6" w:rsidRPr="008843E6">
        <w:rPr>
          <w:rFonts w:ascii="Times New Roman" w:hAnsi="Times New Roman" w:cs="Times New Roman"/>
          <w:sz w:val="24"/>
          <w:szCs w:val="24"/>
        </w:rPr>
        <w:t xml:space="preserve"> means that the business has around $1.74 in debt for each dollar in equity. While a high debt-to-equity ratio is often indicative of heightened financial risk, it may also point to the effective use of debt in support of enterprise expansion or other strategic goals.</w:t>
      </w:r>
      <w:r w:rsidR="0079638A">
        <w:rPr>
          <w:rFonts w:ascii="Times New Roman" w:hAnsi="Times New Roman" w:cs="Times New Roman"/>
          <w:sz w:val="24"/>
          <w:szCs w:val="24"/>
        </w:rPr>
        <w:t xml:space="preserve"> Apple Inc. has had an average debt to equity ratio of </w:t>
      </w:r>
      <w:r w:rsidR="0079638A" w:rsidRPr="0079638A">
        <w:rPr>
          <w:rFonts w:ascii="Times New Roman" w:hAnsi="Times New Roman" w:cs="Times New Roman"/>
          <w:sz w:val="24"/>
          <w:szCs w:val="24"/>
        </w:rPr>
        <w:t>1.3668</w:t>
      </w:r>
      <w:r w:rsidR="0079638A">
        <w:rPr>
          <w:rFonts w:ascii="Times New Roman" w:hAnsi="Times New Roman" w:cs="Times New Roman"/>
          <w:sz w:val="24"/>
          <w:szCs w:val="24"/>
        </w:rPr>
        <w:t xml:space="preserve"> in the past five years which can tends to explain the</w:t>
      </w:r>
      <w:r w:rsidR="009E4DCE">
        <w:rPr>
          <w:rFonts w:ascii="Times New Roman" w:hAnsi="Times New Roman" w:cs="Times New Roman"/>
          <w:sz w:val="24"/>
          <w:szCs w:val="24"/>
        </w:rPr>
        <w:t xml:space="preserve"> steadily growing ROE.</w:t>
      </w:r>
      <w:r w:rsidR="0079638A">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5B286F" w:rsidRPr="00E452BB" w:rsidTr="00514E49">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lastRenderedPageBreak/>
              <w:t>Data Items in millions</w:t>
            </w:r>
          </w:p>
        </w:tc>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2022</w:t>
            </w:r>
          </w:p>
        </w:tc>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2021</w:t>
            </w:r>
          </w:p>
        </w:tc>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2020</w:t>
            </w:r>
          </w:p>
        </w:tc>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2019</w:t>
            </w:r>
          </w:p>
        </w:tc>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2018</w:t>
            </w:r>
          </w:p>
        </w:tc>
      </w:tr>
      <w:tr w:rsidR="005B286F" w:rsidRPr="00E452BB" w:rsidTr="00514E49">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Debt</w:t>
            </w:r>
          </w:p>
        </w:tc>
        <w:tc>
          <w:tcPr>
            <w:tcW w:w="1566" w:type="dxa"/>
          </w:tcPr>
          <w:p w:rsidR="005B286F" w:rsidRPr="00E452BB" w:rsidRDefault="00E452BB" w:rsidP="00043BF6">
            <w:pPr>
              <w:spacing w:line="480" w:lineRule="auto"/>
              <w:jc w:val="center"/>
              <w:rPr>
                <w:rFonts w:ascii="Times New Roman" w:hAnsi="Times New Roman" w:cs="Times New Roman"/>
                <w:sz w:val="24"/>
                <w:szCs w:val="24"/>
              </w:rPr>
            </w:pPr>
            <w:r w:rsidRPr="00E452BB">
              <w:rPr>
                <w:rFonts w:ascii="Times New Roman" w:hAnsi="Times New Roman" w:cs="Times New Roman"/>
                <w:sz w:val="24"/>
                <w:szCs w:val="24"/>
              </w:rPr>
              <w:t>110087</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118719</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107440</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102067</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102519</w:t>
            </w:r>
          </w:p>
        </w:tc>
      </w:tr>
      <w:tr w:rsidR="005B286F" w:rsidRPr="00E452BB" w:rsidTr="00514E49">
        <w:tc>
          <w:tcPr>
            <w:tcW w:w="1566" w:type="dxa"/>
          </w:tcPr>
          <w:p w:rsidR="005B286F" w:rsidRPr="00E452BB" w:rsidRDefault="005B286F"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Equity</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63090</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65339</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90488</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90488</w:t>
            </w:r>
          </w:p>
        </w:tc>
        <w:tc>
          <w:tcPr>
            <w:tcW w:w="1566" w:type="dxa"/>
          </w:tcPr>
          <w:p w:rsidR="005B286F"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107147</w:t>
            </w:r>
          </w:p>
        </w:tc>
      </w:tr>
      <w:tr w:rsidR="00E452BB" w:rsidRPr="00E452BB" w:rsidTr="00514E49">
        <w:tc>
          <w:tcPr>
            <w:tcW w:w="1566" w:type="dxa"/>
          </w:tcPr>
          <w:p w:rsidR="00E452BB" w:rsidRPr="00E452BB" w:rsidRDefault="00E452BB" w:rsidP="00043BF6">
            <w:pPr>
              <w:spacing w:line="480" w:lineRule="auto"/>
              <w:rPr>
                <w:rFonts w:ascii="Times New Roman" w:hAnsi="Times New Roman" w:cs="Times New Roman"/>
                <w:sz w:val="24"/>
                <w:szCs w:val="24"/>
              </w:rPr>
            </w:pPr>
            <w:r w:rsidRPr="00E452BB">
              <w:rPr>
                <w:rFonts w:ascii="Times New Roman" w:hAnsi="Times New Roman" w:cs="Times New Roman"/>
                <w:sz w:val="24"/>
                <w:szCs w:val="24"/>
              </w:rPr>
              <w:t>Debt/Equity</w:t>
            </w:r>
          </w:p>
        </w:tc>
        <w:tc>
          <w:tcPr>
            <w:tcW w:w="1566" w:type="dxa"/>
            <w:tcBorders>
              <w:top w:val="nil"/>
              <w:left w:val="nil"/>
              <w:bottom w:val="single" w:sz="8" w:space="0" w:color="auto"/>
              <w:right w:val="single" w:sz="8" w:space="0" w:color="auto"/>
            </w:tcBorders>
            <w:shd w:val="clear" w:color="auto" w:fill="auto"/>
            <w:vAlign w:val="center"/>
          </w:tcPr>
          <w:p w:rsidR="00E452BB" w:rsidRPr="00E452BB" w:rsidRDefault="00E452BB" w:rsidP="00043BF6">
            <w:pPr>
              <w:spacing w:line="480" w:lineRule="auto"/>
              <w:jc w:val="right"/>
              <w:rPr>
                <w:rFonts w:ascii="Times New Roman" w:hAnsi="Times New Roman" w:cs="Times New Roman"/>
                <w:color w:val="000000"/>
                <w:sz w:val="24"/>
                <w:szCs w:val="24"/>
              </w:rPr>
            </w:pPr>
            <w:r w:rsidRPr="00E452BB">
              <w:rPr>
                <w:rFonts w:ascii="Times New Roman" w:hAnsi="Times New Roman" w:cs="Times New Roman"/>
                <w:color w:val="000000"/>
                <w:sz w:val="24"/>
                <w:szCs w:val="24"/>
              </w:rPr>
              <w:t>1.7449</w:t>
            </w:r>
          </w:p>
        </w:tc>
        <w:tc>
          <w:tcPr>
            <w:tcW w:w="1566" w:type="dxa"/>
            <w:tcBorders>
              <w:top w:val="nil"/>
              <w:left w:val="nil"/>
              <w:bottom w:val="single" w:sz="8" w:space="0" w:color="auto"/>
              <w:right w:val="single" w:sz="8" w:space="0" w:color="auto"/>
            </w:tcBorders>
            <w:shd w:val="clear" w:color="auto" w:fill="auto"/>
            <w:vAlign w:val="center"/>
          </w:tcPr>
          <w:p w:rsidR="00E452BB" w:rsidRPr="00E452BB" w:rsidRDefault="00E452BB" w:rsidP="00043BF6">
            <w:pPr>
              <w:spacing w:line="480" w:lineRule="auto"/>
              <w:jc w:val="right"/>
              <w:rPr>
                <w:rFonts w:ascii="Times New Roman" w:hAnsi="Times New Roman" w:cs="Times New Roman"/>
                <w:color w:val="000000"/>
                <w:sz w:val="24"/>
                <w:szCs w:val="24"/>
              </w:rPr>
            </w:pPr>
            <w:r w:rsidRPr="00E452BB">
              <w:rPr>
                <w:rFonts w:ascii="Times New Roman" w:hAnsi="Times New Roman" w:cs="Times New Roman"/>
                <w:color w:val="000000"/>
                <w:sz w:val="24"/>
                <w:szCs w:val="24"/>
              </w:rPr>
              <w:t>1.8170</w:t>
            </w:r>
          </w:p>
        </w:tc>
        <w:tc>
          <w:tcPr>
            <w:tcW w:w="1566" w:type="dxa"/>
            <w:tcBorders>
              <w:top w:val="nil"/>
              <w:left w:val="nil"/>
              <w:bottom w:val="single" w:sz="8" w:space="0" w:color="auto"/>
              <w:right w:val="single" w:sz="8" w:space="0" w:color="auto"/>
            </w:tcBorders>
            <w:shd w:val="clear" w:color="auto" w:fill="auto"/>
            <w:vAlign w:val="center"/>
          </w:tcPr>
          <w:p w:rsidR="00E452BB" w:rsidRPr="00E452BB" w:rsidRDefault="00E452BB" w:rsidP="00043BF6">
            <w:pPr>
              <w:spacing w:line="480" w:lineRule="auto"/>
              <w:jc w:val="right"/>
              <w:rPr>
                <w:rFonts w:ascii="Times New Roman" w:hAnsi="Times New Roman" w:cs="Times New Roman"/>
                <w:color w:val="000000"/>
                <w:sz w:val="24"/>
                <w:szCs w:val="24"/>
              </w:rPr>
            </w:pPr>
            <w:r w:rsidRPr="00E452BB">
              <w:rPr>
                <w:rFonts w:ascii="Times New Roman" w:hAnsi="Times New Roman" w:cs="Times New Roman"/>
                <w:color w:val="000000"/>
                <w:sz w:val="24"/>
                <w:szCs w:val="24"/>
              </w:rPr>
              <w:t>1.1873</w:t>
            </w:r>
          </w:p>
        </w:tc>
        <w:tc>
          <w:tcPr>
            <w:tcW w:w="1566" w:type="dxa"/>
            <w:tcBorders>
              <w:top w:val="nil"/>
              <w:left w:val="nil"/>
              <w:bottom w:val="single" w:sz="8" w:space="0" w:color="auto"/>
              <w:right w:val="single" w:sz="8" w:space="0" w:color="auto"/>
            </w:tcBorders>
            <w:shd w:val="clear" w:color="auto" w:fill="auto"/>
            <w:vAlign w:val="center"/>
          </w:tcPr>
          <w:p w:rsidR="00E452BB" w:rsidRPr="00E452BB" w:rsidRDefault="00E452BB" w:rsidP="00043BF6">
            <w:pPr>
              <w:spacing w:line="480" w:lineRule="auto"/>
              <w:jc w:val="right"/>
              <w:rPr>
                <w:rFonts w:ascii="Times New Roman" w:hAnsi="Times New Roman" w:cs="Times New Roman"/>
                <w:color w:val="000000"/>
                <w:sz w:val="24"/>
                <w:szCs w:val="24"/>
              </w:rPr>
            </w:pPr>
            <w:r w:rsidRPr="00E452BB">
              <w:rPr>
                <w:rFonts w:ascii="Times New Roman" w:hAnsi="Times New Roman" w:cs="Times New Roman"/>
                <w:color w:val="000000"/>
                <w:sz w:val="24"/>
                <w:szCs w:val="24"/>
              </w:rPr>
              <w:t>1.1280</w:t>
            </w:r>
          </w:p>
        </w:tc>
        <w:tc>
          <w:tcPr>
            <w:tcW w:w="1566" w:type="dxa"/>
            <w:tcBorders>
              <w:top w:val="nil"/>
              <w:left w:val="nil"/>
              <w:bottom w:val="single" w:sz="8" w:space="0" w:color="auto"/>
              <w:right w:val="single" w:sz="8" w:space="0" w:color="auto"/>
            </w:tcBorders>
            <w:shd w:val="clear" w:color="auto" w:fill="auto"/>
            <w:vAlign w:val="center"/>
          </w:tcPr>
          <w:p w:rsidR="00E452BB" w:rsidRPr="00E452BB" w:rsidRDefault="00E452BB" w:rsidP="00043BF6">
            <w:pPr>
              <w:spacing w:line="480" w:lineRule="auto"/>
              <w:jc w:val="right"/>
              <w:rPr>
                <w:rFonts w:ascii="Times New Roman" w:hAnsi="Times New Roman" w:cs="Times New Roman"/>
                <w:color w:val="000000"/>
                <w:sz w:val="24"/>
                <w:szCs w:val="24"/>
              </w:rPr>
            </w:pPr>
            <w:r w:rsidRPr="00E452BB">
              <w:rPr>
                <w:rFonts w:ascii="Times New Roman" w:hAnsi="Times New Roman" w:cs="Times New Roman"/>
                <w:color w:val="000000"/>
                <w:sz w:val="24"/>
                <w:szCs w:val="24"/>
              </w:rPr>
              <w:t>0.9568</w:t>
            </w:r>
          </w:p>
        </w:tc>
      </w:tr>
    </w:tbl>
    <w:p w:rsidR="002C6C2C" w:rsidRPr="00E464F6" w:rsidRDefault="00EF4FDE" w:rsidP="00043BF6">
      <w:pPr>
        <w:spacing w:line="480" w:lineRule="auto"/>
        <w:rPr>
          <w:rFonts w:ascii="Times New Roman" w:hAnsi="Times New Roman" w:cs="Times New Roman"/>
          <w:i/>
          <w:sz w:val="24"/>
          <w:szCs w:val="24"/>
        </w:rPr>
      </w:pPr>
      <w:r>
        <w:rPr>
          <w:rFonts w:ascii="Times New Roman" w:hAnsi="Times New Roman" w:cs="Times New Roman"/>
          <w:i/>
          <w:sz w:val="24"/>
          <w:szCs w:val="24"/>
        </w:rPr>
        <w:t>Table 4</w:t>
      </w:r>
      <w:r w:rsidR="00E464F6" w:rsidRPr="00E464F6">
        <w:rPr>
          <w:rFonts w:ascii="Times New Roman" w:hAnsi="Times New Roman" w:cs="Times New Roman"/>
          <w:i/>
          <w:sz w:val="24"/>
          <w:szCs w:val="24"/>
        </w:rPr>
        <w:t xml:space="preserve">: </w:t>
      </w:r>
      <w:r w:rsidR="00A64435">
        <w:rPr>
          <w:rFonts w:ascii="Times New Roman" w:hAnsi="Times New Roman" w:cs="Times New Roman"/>
          <w:i/>
          <w:sz w:val="24"/>
          <w:szCs w:val="24"/>
        </w:rPr>
        <w:t>Apple’s Debt/ Equity</w:t>
      </w:r>
    </w:p>
    <w:p w:rsidR="0014272A" w:rsidRPr="005A4C08" w:rsidRDefault="005A4C08" w:rsidP="00043BF6">
      <w:pPr>
        <w:spacing w:line="480" w:lineRule="auto"/>
        <w:rPr>
          <w:rFonts w:ascii="Times New Roman" w:hAnsi="Times New Roman" w:cs="Times New Roman"/>
          <w:sz w:val="24"/>
          <w:szCs w:val="24"/>
        </w:rPr>
      </w:pPr>
      <w:r>
        <w:rPr>
          <w:rFonts w:ascii="Times New Roman" w:hAnsi="Times New Roman" w:cs="Times New Roman"/>
          <w:sz w:val="24"/>
          <w:szCs w:val="24"/>
        </w:rPr>
        <w:tab/>
      </w:r>
      <w:r w:rsidRPr="005A4C08">
        <w:rPr>
          <w:rFonts w:ascii="Times New Roman" w:hAnsi="Times New Roman" w:cs="Times New Roman"/>
          <w:sz w:val="24"/>
          <w:szCs w:val="24"/>
        </w:rPr>
        <w:t>In 2022, Apple's marketable securities accounted for around 39.08% of the company's equity, as shown by a ratio of 0.3908 between mar</w:t>
      </w:r>
      <w:r w:rsidR="00297128">
        <w:rPr>
          <w:rFonts w:ascii="Times New Roman" w:hAnsi="Times New Roman" w:cs="Times New Roman"/>
          <w:sz w:val="24"/>
          <w:szCs w:val="24"/>
        </w:rPr>
        <w:t xml:space="preserve">ketable securities and equity. </w:t>
      </w:r>
      <w:r w:rsidRPr="005A4C08">
        <w:rPr>
          <w:rFonts w:ascii="Times New Roman" w:hAnsi="Times New Roman" w:cs="Times New Roman"/>
          <w:sz w:val="24"/>
          <w:szCs w:val="24"/>
        </w:rPr>
        <w:t>This percentage has gone fluctuated from time to time </w:t>
      </w:r>
      <w:r w:rsidR="00EC1B3C" w:rsidRPr="005A4C08">
        <w:rPr>
          <w:rFonts w:ascii="Times New Roman" w:hAnsi="Times New Roman" w:cs="Times New Roman"/>
          <w:sz w:val="24"/>
          <w:szCs w:val="24"/>
        </w:rPr>
        <w:t>from 0.4239</w:t>
      </w:r>
      <w:r w:rsidR="00297128">
        <w:rPr>
          <w:rFonts w:ascii="Times New Roman" w:hAnsi="Times New Roman" w:cs="Times New Roman"/>
          <w:sz w:val="24"/>
          <w:szCs w:val="24"/>
        </w:rPr>
        <w:t xml:space="preserve"> in 2021 to </w:t>
      </w:r>
      <w:r w:rsidRPr="005A4C08">
        <w:rPr>
          <w:rFonts w:ascii="Times New Roman" w:hAnsi="Times New Roman" w:cs="Times New Roman"/>
          <w:sz w:val="24"/>
          <w:szCs w:val="24"/>
        </w:rPr>
        <w:t>0.5849 in 2020 and 57.15% in 2019</w:t>
      </w:r>
      <w:r w:rsidR="00297128">
        <w:rPr>
          <w:rFonts w:ascii="Times New Roman" w:hAnsi="Times New Roman" w:cs="Times New Roman"/>
          <w:sz w:val="24"/>
          <w:szCs w:val="24"/>
        </w:rPr>
        <w:t xml:space="preserve">. </w:t>
      </w:r>
      <w:r w:rsidR="00EC1B3C" w:rsidRPr="00EC1B3C">
        <w:rPr>
          <w:rFonts w:ascii="Times New Roman" w:hAnsi="Times New Roman" w:cs="Times New Roman"/>
          <w:sz w:val="24"/>
          <w:szCs w:val="24"/>
        </w:rPr>
        <w:t>In recent years, Apple has been devoting a lower and less percentage of its equity towards marketable securities, as seen by the declining trend in the Marke</w:t>
      </w:r>
      <w:r w:rsidR="00B75FE3">
        <w:rPr>
          <w:rFonts w:ascii="Times New Roman" w:hAnsi="Times New Roman" w:cs="Times New Roman"/>
          <w:sz w:val="24"/>
          <w:szCs w:val="24"/>
        </w:rPr>
        <w:t xml:space="preserve">table Securities/Equity ratio </w:t>
      </w:r>
      <w:r w:rsidR="00B75FE3" w:rsidRPr="00B75FE3">
        <w:rPr>
          <w:rFonts w:ascii="Times New Roman" w:hAnsi="Times New Roman" w:cs="Times New Roman"/>
          <w:sz w:val="24"/>
          <w:szCs w:val="24"/>
        </w:rPr>
        <w:t>(Yarow, 2018)</w:t>
      </w:r>
      <w:r w:rsidR="00B75FE3">
        <w:rPr>
          <w:rFonts w:ascii="Times New Roman" w:hAnsi="Times New Roman" w:cs="Times New Roman"/>
          <w:sz w:val="24"/>
          <w:szCs w:val="24"/>
        </w:rPr>
        <w:t xml:space="preserve">. </w:t>
      </w:r>
      <w:r w:rsidR="00B75FE3" w:rsidRPr="00B75FE3">
        <w:rPr>
          <w:rFonts w:ascii="Times New Roman" w:hAnsi="Times New Roman" w:cs="Times New Roman"/>
          <w:sz w:val="24"/>
          <w:szCs w:val="24"/>
        </w:rPr>
        <w:t>The Apple investing narrative has be</w:t>
      </w:r>
      <w:r w:rsidR="00B75FE3">
        <w:rPr>
          <w:rFonts w:ascii="Times New Roman" w:hAnsi="Times New Roman" w:cs="Times New Roman"/>
          <w:sz w:val="24"/>
          <w:szCs w:val="24"/>
        </w:rPr>
        <w:t xml:space="preserve">en simple for the last decade. </w:t>
      </w:r>
      <w:r w:rsidR="00B75FE3" w:rsidRPr="00B75FE3">
        <w:rPr>
          <w:rFonts w:ascii="Times New Roman" w:hAnsi="Times New Roman" w:cs="Times New Roman"/>
          <w:sz w:val="24"/>
          <w:szCs w:val="24"/>
        </w:rPr>
        <w:t>The number of iPhones sold was the only metric that mattered to investors and experts. That's still a big deal, but it's not the only thing investors look at now. Apple has a more varied background th</w:t>
      </w:r>
      <w:r w:rsidR="00B75FE3">
        <w:rPr>
          <w:rFonts w:ascii="Times New Roman" w:hAnsi="Times New Roman" w:cs="Times New Roman"/>
          <w:sz w:val="24"/>
          <w:szCs w:val="24"/>
        </w:rPr>
        <w:t xml:space="preserve">an it usually gets credit for. </w:t>
      </w:r>
      <w:r w:rsidR="00B75FE3" w:rsidRPr="00B75FE3">
        <w:rPr>
          <w:rFonts w:ascii="Times New Roman" w:hAnsi="Times New Roman" w:cs="Times New Roman"/>
          <w:sz w:val="24"/>
          <w:szCs w:val="24"/>
        </w:rPr>
        <w:t>In the first quarter of 2018, Apple sold 52.5 million iPhones, which was below the 53 million predicted by analysts</w:t>
      </w:r>
      <w:r w:rsidR="00B75FE3">
        <w:rPr>
          <w:rFonts w:ascii="Times New Roman" w:hAnsi="Times New Roman" w:cs="Times New Roman"/>
          <w:sz w:val="24"/>
          <w:szCs w:val="24"/>
        </w:rPr>
        <w:t xml:space="preserve"> </w:t>
      </w:r>
      <w:r w:rsidR="00B75FE3" w:rsidRPr="00B75FE3">
        <w:rPr>
          <w:rFonts w:ascii="Times New Roman" w:hAnsi="Times New Roman" w:cs="Times New Roman"/>
          <w:sz w:val="24"/>
          <w:szCs w:val="24"/>
        </w:rPr>
        <w:t>(Yarow, 2018).</w:t>
      </w:r>
      <w:r w:rsidR="00D87FEE">
        <w:rPr>
          <w:rFonts w:ascii="Times New Roman" w:hAnsi="Times New Roman" w:cs="Times New Roman"/>
          <w:sz w:val="24"/>
          <w:szCs w:val="24"/>
        </w:rPr>
        <w:t xml:space="preserve"> </w:t>
      </w:r>
      <w:r w:rsidR="00D87FEE" w:rsidRPr="00D87FEE">
        <w:rPr>
          <w:rFonts w:ascii="Times New Roman" w:hAnsi="Times New Roman" w:cs="Times New Roman"/>
          <w:sz w:val="24"/>
          <w:szCs w:val="24"/>
        </w:rPr>
        <w:t>Apple's financial structure has been drastically altered as a resul</w:t>
      </w:r>
      <w:r w:rsidR="00733A50">
        <w:rPr>
          <w:rFonts w:ascii="Times New Roman" w:hAnsi="Times New Roman" w:cs="Times New Roman"/>
          <w:sz w:val="24"/>
          <w:szCs w:val="24"/>
        </w:rPr>
        <w:t xml:space="preserve">t of the company's debt buildup, as a result of the company’s shift towards more aggressive strategies. </w:t>
      </w:r>
      <w:r w:rsidR="00EC1B3C" w:rsidRPr="00EC1B3C">
        <w:rPr>
          <w:rFonts w:ascii="Times New Roman" w:hAnsi="Times New Roman" w:cs="Times New Roman"/>
          <w:sz w:val="24"/>
          <w:szCs w:val="24"/>
        </w:rPr>
        <w:t>The rising trend in ROE indicates that Apple has been generating growing returns on equity, particularly in 2022. This may be the result of improved earnings and smarter use of equity in revenue-generating operations.</w:t>
      </w:r>
    </w:p>
    <w:tbl>
      <w:tblPr>
        <w:tblStyle w:val="TableGrid"/>
        <w:tblW w:w="0" w:type="auto"/>
        <w:tblLook w:val="04A0" w:firstRow="1" w:lastRow="0" w:firstColumn="1" w:lastColumn="0" w:noHBand="0" w:noVBand="1"/>
      </w:tblPr>
      <w:tblGrid>
        <w:gridCol w:w="1870"/>
        <w:gridCol w:w="1356"/>
        <w:gridCol w:w="1263"/>
        <w:gridCol w:w="1264"/>
        <w:gridCol w:w="1264"/>
        <w:gridCol w:w="1265"/>
      </w:tblGrid>
      <w:tr w:rsidR="00DD0859" w:rsidRPr="00AC57C0" w:rsidTr="00DD0859">
        <w:tc>
          <w:tcPr>
            <w:tcW w:w="1870"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Data Items in millions</w:t>
            </w:r>
          </w:p>
        </w:tc>
        <w:tc>
          <w:tcPr>
            <w:tcW w:w="1263"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2022</w:t>
            </w:r>
          </w:p>
        </w:tc>
        <w:tc>
          <w:tcPr>
            <w:tcW w:w="1263"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2021</w:t>
            </w:r>
          </w:p>
        </w:tc>
        <w:tc>
          <w:tcPr>
            <w:tcW w:w="1264"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2020</w:t>
            </w:r>
          </w:p>
        </w:tc>
        <w:tc>
          <w:tcPr>
            <w:tcW w:w="1264"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2019</w:t>
            </w:r>
          </w:p>
        </w:tc>
        <w:tc>
          <w:tcPr>
            <w:tcW w:w="1265"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2018</w:t>
            </w:r>
          </w:p>
        </w:tc>
      </w:tr>
      <w:tr w:rsidR="00DD0859" w:rsidRPr="00AC57C0" w:rsidTr="00DD0859">
        <w:tc>
          <w:tcPr>
            <w:tcW w:w="1870" w:type="dxa"/>
          </w:tcPr>
          <w:p w:rsidR="00DD0859" w:rsidRPr="00AC57C0" w:rsidRDefault="00DD0859"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lastRenderedPageBreak/>
              <w:t>Marketable securities</w:t>
            </w:r>
          </w:p>
        </w:tc>
        <w:tc>
          <w:tcPr>
            <w:tcW w:w="1263" w:type="dxa"/>
          </w:tcPr>
          <w:p w:rsidR="00DD0859"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24658</w:t>
            </w:r>
          </w:p>
        </w:tc>
        <w:tc>
          <w:tcPr>
            <w:tcW w:w="1263" w:type="dxa"/>
          </w:tcPr>
          <w:p w:rsidR="00DD0859"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27699</w:t>
            </w:r>
          </w:p>
        </w:tc>
        <w:tc>
          <w:tcPr>
            <w:tcW w:w="1264" w:type="dxa"/>
          </w:tcPr>
          <w:p w:rsidR="00DD0859" w:rsidRPr="00AC57C0" w:rsidRDefault="003F3C1A"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52927</w:t>
            </w:r>
          </w:p>
        </w:tc>
        <w:tc>
          <w:tcPr>
            <w:tcW w:w="1264" w:type="dxa"/>
          </w:tcPr>
          <w:p w:rsidR="00DD0859" w:rsidRPr="00AC57C0" w:rsidRDefault="003F3C1A"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51713</w:t>
            </w:r>
          </w:p>
        </w:tc>
        <w:tc>
          <w:tcPr>
            <w:tcW w:w="1265" w:type="dxa"/>
          </w:tcPr>
          <w:p w:rsidR="00DD0859"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40388</w:t>
            </w:r>
          </w:p>
        </w:tc>
      </w:tr>
      <w:tr w:rsidR="00AC57C0" w:rsidRPr="00AC57C0" w:rsidTr="00DD0859">
        <w:tc>
          <w:tcPr>
            <w:tcW w:w="1870"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Equity</w:t>
            </w:r>
          </w:p>
        </w:tc>
        <w:tc>
          <w:tcPr>
            <w:tcW w:w="1263"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63090</w:t>
            </w:r>
          </w:p>
        </w:tc>
        <w:tc>
          <w:tcPr>
            <w:tcW w:w="1263"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65339</w:t>
            </w:r>
          </w:p>
        </w:tc>
        <w:tc>
          <w:tcPr>
            <w:tcW w:w="1264"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90488</w:t>
            </w:r>
          </w:p>
        </w:tc>
        <w:tc>
          <w:tcPr>
            <w:tcW w:w="1264"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90488</w:t>
            </w:r>
          </w:p>
        </w:tc>
        <w:tc>
          <w:tcPr>
            <w:tcW w:w="1265"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107147</w:t>
            </w:r>
          </w:p>
        </w:tc>
      </w:tr>
      <w:tr w:rsidR="00AC57C0" w:rsidRPr="00AC57C0" w:rsidTr="00514E49">
        <w:tc>
          <w:tcPr>
            <w:tcW w:w="1870" w:type="dxa"/>
          </w:tcPr>
          <w:p w:rsidR="00AC57C0" w:rsidRPr="00AC57C0" w:rsidRDefault="00AC57C0"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Marketable Securities/Equity</w:t>
            </w:r>
          </w:p>
        </w:tc>
        <w:tc>
          <w:tcPr>
            <w:tcW w:w="1263" w:type="dxa"/>
            <w:tcBorders>
              <w:top w:val="nil"/>
              <w:left w:val="nil"/>
              <w:bottom w:val="single" w:sz="8" w:space="0" w:color="auto"/>
              <w:right w:val="single" w:sz="8" w:space="0" w:color="auto"/>
            </w:tcBorders>
            <w:shd w:val="clear" w:color="auto" w:fill="auto"/>
            <w:vAlign w:val="center"/>
          </w:tcPr>
          <w:p w:rsidR="00AC57C0" w:rsidRPr="00AC57C0" w:rsidRDefault="00AC57C0" w:rsidP="00043BF6">
            <w:pPr>
              <w:spacing w:line="480" w:lineRule="auto"/>
              <w:jc w:val="right"/>
              <w:rPr>
                <w:rFonts w:ascii="Times New Roman" w:hAnsi="Times New Roman" w:cs="Times New Roman"/>
                <w:color w:val="000000"/>
                <w:sz w:val="24"/>
                <w:szCs w:val="24"/>
              </w:rPr>
            </w:pPr>
            <w:r w:rsidRPr="00AC57C0">
              <w:rPr>
                <w:rFonts w:ascii="Times New Roman" w:hAnsi="Times New Roman" w:cs="Times New Roman"/>
                <w:color w:val="000000"/>
                <w:sz w:val="24"/>
                <w:szCs w:val="24"/>
              </w:rPr>
              <w:t>0.39083848</w:t>
            </w:r>
          </w:p>
        </w:tc>
        <w:tc>
          <w:tcPr>
            <w:tcW w:w="1263" w:type="dxa"/>
            <w:tcBorders>
              <w:top w:val="nil"/>
              <w:left w:val="nil"/>
              <w:bottom w:val="single" w:sz="8" w:space="0" w:color="auto"/>
              <w:right w:val="single" w:sz="8" w:space="0" w:color="auto"/>
            </w:tcBorders>
            <w:shd w:val="clear" w:color="auto" w:fill="auto"/>
            <w:vAlign w:val="center"/>
          </w:tcPr>
          <w:p w:rsidR="00AC57C0" w:rsidRPr="00AC57C0" w:rsidRDefault="00AC57C0" w:rsidP="00043BF6">
            <w:pPr>
              <w:spacing w:line="480" w:lineRule="auto"/>
              <w:jc w:val="right"/>
              <w:rPr>
                <w:rFonts w:ascii="Times New Roman" w:hAnsi="Times New Roman" w:cs="Times New Roman"/>
                <w:color w:val="000000"/>
                <w:sz w:val="24"/>
                <w:szCs w:val="24"/>
              </w:rPr>
            </w:pPr>
            <w:r w:rsidRPr="00AC57C0">
              <w:rPr>
                <w:rFonts w:ascii="Times New Roman" w:hAnsi="Times New Roman" w:cs="Times New Roman"/>
                <w:color w:val="000000"/>
                <w:sz w:val="24"/>
                <w:szCs w:val="24"/>
              </w:rPr>
              <w:t>0.42393</w:t>
            </w:r>
          </w:p>
        </w:tc>
        <w:tc>
          <w:tcPr>
            <w:tcW w:w="1264" w:type="dxa"/>
            <w:tcBorders>
              <w:top w:val="nil"/>
              <w:left w:val="nil"/>
              <w:bottom w:val="single" w:sz="8" w:space="0" w:color="auto"/>
              <w:right w:val="single" w:sz="8" w:space="0" w:color="auto"/>
            </w:tcBorders>
            <w:shd w:val="clear" w:color="auto" w:fill="auto"/>
            <w:vAlign w:val="center"/>
          </w:tcPr>
          <w:p w:rsidR="00AC57C0" w:rsidRPr="00AC57C0" w:rsidRDefault="00AC57C0" w:rsidP="00043BF6">
            <w:pPr>
              <w:spacing w:line="480" w:lineRule="auto"/>
              <w:jc w:val="right"/>
              <w:rPr>
                <w:rFonts w:ascii="Times New Roman" w:hAnsi="Times New Roman" w:cs="Times New Roman"/>
                <w:color w:val="000000"/>
                <w:sz w:val="24"/>
                <w:szCs w:val="24"/>
              </w:rPr>
            </w:pPr>
            <w:r w:rsidRPr="00AC57C0">
              <w:rPr>
                <w:rFonts w:ascii="Times New Roman" w:hAnsi="Times New Roman" w:cs="Times New Roman"/>
                <w:color w:val="000000"/>
                <w:sz w:val="24"/>
                <w:szCs w:val="24"/>
              </w:rPr>
              <w:t>0.58491</w:t>
            </w:r>
          </w:p>
        </w:tc>
        <w:tc>
          <w:tcPr>
            <w:tcW w:w="1264" w:type="dxa"/>
            <w:tcBorders>
              <w:top w:val="nil"/>
              <w:left w:val="nil"/>
              <w:bottom w:val="single" w:sz="8" w:space="0" w:color="auto"/>
              <w:right w:val="single" w:sz="8" w:space="0" w:color="auto"/>
            </w:tcBorders>
            <w:shd w:val="clear" w:color="auto" w:fill="auto"/>
            <w:vAlign w:val="center"/>
          </w:tcPr>
          <w:p w:rsidR="00AC57C0" w:rsidRPr="00AC57C0" w:rsidRDefault="00AC57C0" w:rsidP="00043BF6">
            <w:pPr>
              <w:spacing w:line="480" w:lineRule="auto"/>
              <w:jc w:val="right"/>
              <w:rPr>
                <w:rFonts w:ascii="Times New Roman" w:hAnsi="Times New Roman" w:cs="Times New Roman"/>
                <w:color w:val="000000"/>
                <w:sz w:val="24"/>
                <w:szCs w:val="24"/>
              </w:rPr>
            </w:pPr>
            <w:r w:rsidRPr="00AC57C0">
              <w:rPr>
                <w:rFonts w:ascii="Times New Roman" w:hAnsi="Times New Roman" w:cs="Times New Roman"/>
                <w:color w:val="000000"/>
                <w:sz w:val="24"/>
                <w:szCs w:val="24"/>
              </w:rPr>
              <w:t>0.57149</w:t>
            </w:r>
          </w:p>
        </w:tc>
        <w:tc>
          <w:tcPr>
            <w:tcW w:w="1265" w:type="dxa"/>
            <w:tcBorders>
              <w:top w:val="nil"/>
              <w:left w:val="nil"/>
              <w:bottom w:val="single" w:sz="8" w:space="0" w:color="auto"/>
              <w:right w:val="single" w:sz="8" w:space="0" w:color="auto"/>
            </w:tcBorders>
            <w:shd w:val="clear" w:color="auto" w:fill="auto"/>
            <w:vAlign w:val="center"/>
          </w:tcPr>
          <w:p w:rsidR="00AC57C0" w:rsidRPr="00AC57C0" w:rsidRDefault="00AC57C0" w:rsidP="00043BF6">
            <w:pPr>
              <w:spacing w:line="480" w:lineRule="auto"/>
              <w:jc w:val="right"/>
              <w:rPr>
                <w:rFonts w:ascii="Times New Roman" w:hAnsi="Times New Roman" w:cs="Times New Roman"/>
                <w:color w:val="000000"/>
                <w:sz w:val="24"/>
                <w:szCs w:val="24"/>
              </w:rPr>
            </w:pPr>
            <w:r w:rsidRPr="00AC57C0">
              <w:rPr>
                <w:rFonts w:ascii="Times New Roman" w:hAnsi="Times New Roman" w:cs="Times New Roman"/>
                <w:color w:val="000000"/>
                <w:sz w:val="24"/>
                <w:szCs w:val="24"/>
              </w:rPr>
              <w:t>0.37694</w:t>
            </w:r>
          </w:p>
        </w:tc>
      </w:tr>
    </w:tbl>
    <w:p w:rsidR="00155CA9" w:rsidRDefault="00EF4FDE" w:rsidP="00043BF6">
      <w:pPr>
        <w:spacing w:line="480" w:lineRule="auto"/>
        <w:rPr>
          <w:rFonts w:ascii="Times New Roman" w:hAnsi="Times New Roman" w:cs="Times New Roman"/>
          <w:i/>
          <w:sz w:val="24"/>
          <w:szCs w:val="24"/>
        </w:rPr>
      </w:pPr>
      <w:r>
        <w:rPr>
          <w:rFonts w:ascii="Times New Roman" w:hAnsi="Times New Roman" w:cs="Times New Roman"/>
          <w:i/>
          <w:sz w:val="24"/>
          <w:szCs w:val="24"/>
        </w:rPr>
        <w:t>Table 5</w:t>
      </w:r>
      <w:r w:rsidR="00236298">
        <w:rPr>
          <w:rFonts w:ascii="Times New Roman" w:hAnsi="Times New Roman" w:cs="Times New Roman"/>
          <w:i/>
          <w:sz w:val="24"/>
          <w:szCs w:val="24"/>
        </w:rPr>
        <w:t xml:space="preserve">: </w:t>
      </w:r>
      <w:r w:rsidR="00201BB4">
        <w:rPr>
          <w:rFonts w:ascii="Times New Roman" w:hAnsi="Times New Roman" w:cs="Times New Roman"/>
          <w:i/>
          <w:sz w:val="24"/>
          <w:szCs w:val="24"/>
        </w:rPr>
        <w:t>Marketable securities/Equity</w:t>
      </w:r>
    </w:p>
    <w:p w:rsidR="00013A4F" w:rsidRDefault="00013A4F" w:rsidP="00043BF6">
      <w:pPr>
        <w:spacing w:line="480" w:lineRule="auto"/>
        <w:rPr>
          <w:rFonts w:ascii="Times New Roman" w:hAnsi="Times New Roman" w:cs="Times New Roman"/>
          <w:sz w:val="24"/>
          <w:szCs w:val="24"/>
        </w:rPr>
      </w:pPr>
      <w:r w:rsidRPr="00A23E82">
        <w:rPr>
          <w:rFonts w:ascii="Times New Roman" w:hAnsi="Times New Roman" w:cs="Times New Roman"/>
          <w:sz w:val="24"/>
          <w:szCs w:val="24"/>
        </w:rPr>
        <w:tab/>
      </w:r>
      <w:r w:rsidR="00A23E82" w:rsidRPr="00A23E82">
        <w:rPr>
          <w:rFonts w:ascii="Times New Roman" w:hAnsi="Times New Roman" w:cs="Times New Roman"/>
          <w:sz w:val="24"/>
          <w:szCs w:val="24"/>
        </w:rPr>
        <w:t>Both the Debt-to-Equity ratio and the Marketable Securities/Equity ratio have been on the decline recently. As Apple's commitment to marketable assets decreased, it shows that the company relied heavily on debt to fund its day-to-day activities and long-term investments.</w:t>
      </w:r>
    </w:p>
    <w:p w:rsidR="00CB2EF8" w:rsidRPr="002B05A7" w:rsidRDefault="00507C8A" w:rsidP="00043BF6">
      <w:pPr>
        <w:spacing w:line="480" w:lineRule="auto"/>
        <w:rPr>
          <w:rFonts w:ascii="Times New Roman" w:hAnsi="Times New Roman" w:cs="Times New Roman"/>
          <w:b/>
          <w:sz w:val="24"/>
          <w:szCs w:val="24"/>
        </w:rPr>
      </w:pPr>
      <w:r w:rsidRPr="002B05A7">
        <w:rPr>
          <w:rFonts w:ascii="Times New Roman" w:hAnsi="Times New Roman" w:cs="Times New Roman"/>
          <w:b/>
          <w:sz w:val="24"/>
          <w:szCs w:val="24"/>
        </w:rPr>
        <w:t xml:space="preserve">Microsoft </w:t>
      </w:r>
      <w:r w:rsidR="002B05A7" w:rsidRPr="002B05A7">
        <w:rPr>
          <w:rFonts w:ascii="Times New Roman" w:hAnsi="Times New Roman" w:cs="Times New Roman"/>
          <w:b/>
          <w:sz w:val="24"/>
          <w:szCs w:val="24"/>
        </w:rPr>
        <w:t>Leverage</w:t>
      </w:r>
      <w:r w:rsidRPr="002B05A7">
        <w:rPr>
          <w:rFonts w:ascii="Times New Roman" w:hAnsi="Times New Roman" w:cs="Times New Roman"/>
          <w:b/>
          <w:sz w:val="24"/>
          <w:szCs w:val="24"/>
        </w:rPr>
        <w:t xml:space="preserve"> Outlook</w:t>
      </w:r>
    </w:p>
    <w:p w:rsidR="00507C8A" w:rsidRDefault="00507C8A" w:rsidP="00043BF6">
      <w:pPr>
        <w:spacing w:line="480" w:lineRule="auto"/>
        <w:rPr>
          <w:rFonts w:ascii="Times New Roman" w:hAnsi="Times New Roman" w:cs="Times New Roman"/>
          <w:sz w:val="24"/>
          <w:szCs w:val="24"/>
        </w:rPr>
      </w:pPr>
      <w:r>
        <w:rPr>
          <w:rFonts w:ascii="Times New Roman" w:hAnsi="Times New Roman" w:cs="Times New Roman"/>
          <w:sz w:val="24"/>
          <w:szCs w:val="24"/>
        </w:rPr>
        <w:tab/>
      </w:r>
      <w:r w:rsidRPr="00507C8A">
        <w:rPr>
          <w:rFonts w:ascii="Times New Roman" w:hAnsi="Times New Roman" w:cs="Times New Roman"/>
          <w:sz w:val="24"/>
          <w:szCs w:val="24"/>
        </w:rPr>
        <w:t xml:space="preserve">Over the last five years, Microsoft's Debt to Equity ratio has steadily gone down. The ratio was high, at 0.8734 in 2018, but it has been progressively </w:t>
      </w:r>
      <w:r w:rsidR="002B05A7" w:rsidRPr="00507C8A">
        <w:rPr>
          <w:rFonts w:ascii="Times New Roman" w:hAnsi="Times New Roman" w:cs="Times New Roman"/>
          <w:sz w:val="24"/>
          <w:szCs w:val="24"/>
        </w:rPr>
        <w:t>decreasing</w:t>
      </w:r>
      <w:r w:rsidRPr="00507C8A">
        <w:rPr>
          <w:rFonts w:ascii="Times New Roman" w:hAnsi="Times New Roman" w:cs="Times New Roman"/>
          <w:sz w:val="24"/>
          <w:szCs w:val="24"/>
        </w:rPr>
        <w:t>, and reached 0.2824 by 2022. Microsoft's decreasing dependence on debt funding in comparison</w:t>
      </w:r>
      <w:r>
        <w:rPr>
          <w:rFonts w:ascii="Times New Roman" w:hAnsi="Times New Roman" w:cs="Times New Roman"/>
          <w:sz w:val="24"/>
          <w:szCs w:val="24"/>
        </w:rPr>
        <w:t xml:space="preserve"> to equity reflects this trend. </w:t>
      </w:r>
      <w:r w:rsidRPr="00507C8A">
        <w:rPr>
          <w:rFonts w:ascii="Times New Roman" w:hAnsi="Times New Roman" w:cs="Times New Roman"/>
          <w:sz w:val="24"/>
          <w:szCs w:val="24"/>
        </w:rPr>
        <w:t>Less financial leverage is indicated by a low Debt to Equity ratio. This has the potential to cut interest costs and lessen financial risk.</w:t>
      </w:r>
    </w:p>
    <w:tbl>
      <w:tblPr>
        <w:tblW w:w="6180" w:type="dxa"/>
        <w:tblInd w:w="-10" w:type="dxa"/>
        <w:tblLook w:val="04A0" w:firstRow="1" w:lastRow="0" w:firstColumn="1" w:lastColumn="0" w:noHBand="0" w:noVBand="1"/>
      </w:tblPr>
      <w:tblGrid>
        <w:gridCol w:w="1390"/>
        <w:gridCol w:w="1387"/>
        <w:gridCol w:w="1053"/>
        <w:gridCol w:w="1053"/>
        <w:gridCol w:w="1053"/>
        <w:gridCol w:w="1053"/>
      </w:tblGrid>
      <w:tr w:rsidR="003A1E53" w:rsidRPr="003A1E53" w:rsidTr="003A1E53">
        <w:trPr>
          <w:trHeight w:val="960"/>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Data Items in millions</w:t>
            </w:r>
          </w:p>
        </w:tc>
        <w:tc>
          <w:tcPr>
            <w:tcW w:w="1380" w:type="dxa"/>
            <w:tcBorders>
              <w:top w:val="single" w:sz="8" w:space="0" w:color="auto"/>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2022</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2021</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2020</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2019</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2018</w:t>
            </w:r>
          </w:p>
        </w:tc>
      </w:tr>
      <w:tr w:rsidR="003A1E53" w:rsidRPr="003A1E53" w:rsidTr="003A1E53">
        <w:trPr>
          <w:trHeight w:val="330"/>
        </w:trPr>
        <w:tc>
          <w:tcPr>
            <w:tcW w:w="960" w:type="dxa"/>
            <w:tcBorders>
              <w:top w:val="nil"/>
              <w:left w:val="single" w:sz="8" w:space="0" w:color="auto"/>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Debt</w:t>
            </w:r>
          </w:p>
        </w:tc>
        <w:tc>
          <w:tcPr>
            <w:tcW w:w="138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47032</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50074</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59578</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6662</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72242</w:t>
            </w:r>
          </w:p>
        </w:tc>
      </w:tr>
      <w:tr w:rsidR="003A1E53" w:rsidRPr="003A1E53" w:rsidTr="003A1E53">
        <w:trPr>
          <w:trHeight w:val="330"/>
        </w:trPr>
        <w:tc>
          <w:tcPr>
            <w:tcW w:w="960" w:type="dxa"/>
            <w:tcBorders>
              <w:top w:val="nil"/>
              <w:left w:val="single" w:sz="8" w:space="0" w:color="auto"/>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equity</w:t>
            </w:r>
          </w:p>
        </w:tc>
        <w:tc>
          <w:tcPr>
            <w:tcW w:w="138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166542</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141988</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118304</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102330</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82718</w:t>
            </w:r>
          </w:p>
        </w:tc>
      </w:tr>
      <w:tr w:rsidR="003A1E53" w:rsidRPr="003A1E53" w:rsidTr="003A1E53">
        <w:trPr>
          <w:trHeight w:val="645"/>
        </w:trPr>
        <w:tc>
          <w:tcPr>
            <w:tcW w:w="960" w:type="dxa"/>
            <w:tcBorders>
              <w:top w:val="nil"/>
              <w:left w:val="single" w:sz="8" w:space="0" w:color="auto"/>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Debt/Equit</w:t>
            </w:r>
            <w:r>
              <w:rPr>
                <w:rFonts w:ascii="Times New Roman" w:eastAsia="Times New Roman" w:hAnsi="Times New Roman" w:cs="Times New Roman"/>
                <w:color w:val="000000"/>
                <w:sz w:val="24"/>
                <w:szCs w:val="24"/>
              </w:rPr>
              <w:t>y</w:t>
            </w:r>
          </w:p>
        </w:tc>
        <w:tc>
          <w:tcPr>
            <w:tcW w:w="138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0.282403238</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0.352664</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0.503601</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0.065103</w:t>
            </w:r>
          </w:p>
        </w:tc>
        <w:tc>
          <w:tcPr>
            <w:tcW w:w="960" w:type="dxa"/>
            <w:tcBorders>
              <w:top w:val="nil"/>
              <w:left w:val="nil"/>
              <w:bottom w:val="single" w:sz="8" w:space="0" w:color="auto"/>
              <w:right w:val="single" w:sz="8" w:space="0" w:color="auto"/>
            </w:tcBorders>
            <w:shd w:val="clear" w:color="auto" w:fill="auto"/>
            <w:vAlign w:val="center"/>
            <w:hideMark/>
          </w:tcPr>
          <w:p w:rsidR="003A1E53" w:rsidRPr="003A1E53" w:rsidRDefault="003A1E53" w:rsidP="00043BF6">
            <w:pPr>
              <w:spacing w:after="0" w:line="480" w:lineRule="auto"/>
              <w:jc w:val="right"/>
              <w:rPr>
                <w:rFonts w:ascii="Calibri" w:eastAsia="Times New Roman" w:hAnsi="Calibri" w:cs="Calibri"/>
                <w:color w:val="000000"/>
              </w:rPr>
            </w:pPr>
            <w:r w:rsidRPr="003A1E53">
              <w:rPr>
                <w:rFonts w:ascii="Calibri" w:eastAsia="Times New Roman" w:hAnsi="Calibri" w:cs="Calibri"/>
                <w:color w:val="000000"/>
              </w:rPr>
              <w:t>0.873353</w:t>
            </w:r>
          </w:p>
        </w:tc>
      </w:tr>
    </w:tbl>
    <w:p w:rsidR="00743AE9" w:rsidRPr="00EF4FDE" w:rsidRDefault="00EF4FDE" w:rsidP="00043BF6">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Table 6: </w:t>
      </w:r>
      <w:r w:rsidR="00AB5A9B">
        <w:rPr>
          <w:rFonts w:ascii="Times New Roman" w:hAnsi="Times New Roman" w:cs="Times New Roman"/>
          <w:i/>
          <w:sz w:val="24"/>
          <w:szCs w:val="24"/>
        </w:rPr>
        <w:t>Microsoft</w:t>
      </w:r>
      <w:r w:rsidR="00AB5A9B">
        <w:rPr>
          <w:rFonts w:ascii="Times New Roman" w:hAnsi="Times New Roman" w:cs="Times New Roman"/>
          <w:i/>
          <w:sz w:val="24"/>
          <w:szCs w:val="24"/>
        </w:rPr>
        <w:t>’s Debt/ Equity</w:t>
      </w:r>
    </w:p>
    <w:p w:rsidR="001A3DE6" w:rsidRPr="001A3DE6" w:rsidRDefault="001A3DE6" w:rsidP="00043BF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The declining debt to equity ratio can be attributed to digital transformation which</w:t>
      </w:r>
      <w:r w:rsidRPr="001A3DE6">
        <w:rPr>
          <w:rFonts w:ascii="Times New Roman" w:hAnsi="Times New Roman" w:cs="Times New Roman"/>
          <w:sz w:val="24"/>
          <w:szCs w:val="24"/>
        </w:rPr>
        <w:t xml:space="preserve"> has been bandied around often in recent discussions on technology. It has been widely documented that, in response to and in the aftermath of the pandemic, Microsoft embraced web-based solutions and telecommuting at an unprecedented pace, or enhanced their capacities to better serve customers, workers, and stakeholders</w:t>
      </w:r>
      <w:r>
        <w:rPr>
          <w:rFonts w:ascii="Times New Roman" w:hAnsi="Times New Roman" w:cs="Times New Roman"/>
          <w:sz w:val="24"/>
          <w:szCs w:val="24"/>
        </w:rPr>
        <w:t xml:space="preserve"> </w:t>
      </w:r>
      <w:r w:rsidRPr="001A3DE6">
        <w:rPr>
          <w:rFonts w:ascii="Times New Roman" w:hAnsi="Times New Roman" w:cs="Times New Roman"/>
          <w:sz w:val="24"/>
          <w:szCs w:val="24"/>
        </w:rPr>
        <w:t>(Craig, 2023).</w:t>
      </w:r>
    </w:p>
    <w:p w:rsidR="001A3DE6" w:rsidRPr="001A3DE6" w:rsidRDefault="001A3DE6" w:rsidP="00043BF6">
      <w:pPr>
        <w:spacing w:line="480" w:lineRule="auto"/>
        <w:ind w:firstLine="720"/>
        <w:rPr>
          <w:rFonts w:ascii="Times New Roman" w:hAnsi="Times New Roman" w:cs="Times New Roman"/>
          <w:sz w:val="24"/>
          <w:szCs w:val="24"/>
        </w:rPr>
      </w:pPr>
      <w:r w:rsidRPr="001A3DE6">
        <w:rPr>
          <w:rFonts w:ascii="Times New Roman" w:hAnsi="Times New Roman" w:cs="Times New Roman"/>
          <w:sz w:val="24"/>
          <w:szCs w:val="24"/>
        </w:rPr>
        <w:t>However, a typical consequence of this change is tech debt. Half of all CIOs would be affected by tech debt incurred during the pandemic, according to a recent IDC analysis commissioned by Microsoft</w:t>
      </w:r>
      <w:r w:rsidR="008F1D4B">
        <w:rPr>
          <w:rFonts w:ascii="Times New Roman" w:hAnsi="Times New Roman" w:cs="Times New Roman"/>
          <w:sz w:val="24"/>
          <w:szCs w:val="24"/>
        </w:rPr>
        <w:t xml:space="preserve"> </w:t>
      </w:r>
      <w:r w:rsidR="008F1D4B" w:rsidRPr="008F1D4B">
        <w:rPr>
          <w:rFonts w:ascii="Times New Roman" w:hAnsi="Times New Roman" w:cs="Times New Roman"/>
          <w:sz w:val="24"/>
          <w:szCs w:val="24"/>
        </w:rPr>
        <w:t>(Craig, 2023)</w:t>
      </w:r>
      <w:r w:rsidRPr="001A3DE6">
        <w:rPr>
          <w:rFonts w:ascii="Times New Roman" w:hAnsi="Times New Roman" w:cs="Times New Roman"/>
          <w:sz w:val="24"/>
          <w:szCs w:val="24"/>
        </w:rPr>
        <w:t>. The "quick and dirty" adaptations that allowed companies to escape the Covid-19 lockdowns have now been shown to come with their own set of problems.</w:t>
      </w:r>
    </w:p>
    <w:p w:rsidR="001A3DE6" w:rsidRPr="001A3DE6" w:rsidRDefault="001A3DE6" w:rsidP="00043BF6">
      <w:pPr>
        <w:spacing w:line="480" w:lineRule="auto"/>
        <w:ind w:firstLine="720"/>
        <w:rPr>
          <w:rFonts w:ascii="Times New Roman" w:hAnsi="Times New Roman" w:cs="Times New Roman"/>
          <w:sz w:val="24"/>
          <w:szCs w:val="24"/>
        </w:rPr>
      </w:pPr>
      <w:r w:rsidRPr="001A3DE6">
        <w:rPr>
          <w:rFonts w:ascii="Times New Roman" w:hAnsi="Times New Roman" w:cs="Times New Roman"/>
          <w:sz w:val="24"/>
          <w:szCs w:val="24"/>
        </w:rPr>
        <w:t>In a business's current technology stack, tech debt develops when rapid delivery is valued more highly than quality architecture or code. Inefficiencies, increased expenses, and frequent irritation occur from poorly linked systems and poorly optimized cloud utilization. If the architecture and infrastructure are a hodgepodge, each new deployment has the potential to exacerbate the problem.</w:t>
      </w:r>
    </w:p>
    <w:p w:rsidR="000D51A6" w:rsidRPr="003E7DF6" w:rsidRDefault="001A3DE6" w:rsidP="00043BF6">
      <w:pPr>
        <w:spacing w:line="480" w:lineRule="auto"/>
        <w:ind w:firstLine="720"/>
        <w:rPr>
          <w:rFonts w:ascii="Times New Roman" w:hAnsi="Times New Roman" w:cs="Times New Roman"/>
          <w:sz w:val="24"/>
          <w:szCs w:val="24"/>
        </w:rPr>
      </w:pPr>
      <w:r w:rsidRPr="001A3DE6">
        <w:rPr>
          <w:rFonts w:ascii="Times New Roman" w:hAnsi="Times New Roman" w:cs="Times New Roman"/>
          <w:sz w:val="24"/>
          <w:szCs w:val="24"/>
        </w:rPr>
        <w:t>According to a new analysis by International Data Corporation (IDC), titled "Public Cloud Services Opportunities as well as Dividends to the Australian and New Zealand Economies"</w:t>
      </w:r>
      <w:r w:rsidR="00761CC5">
        <w:rPr>
          <w:rFonts w:ascii="Times New Roman" w:hAnsi="Times New Roman" w:cs="Times New Roman"/>
          <w:sz w:val="24"/>
          <w:szCs w:val="24"/>
        </w:rPr>
        <w:t xml:space="preserve"> </w:t>
      </w:r>
      <w:r w:rsidR="00761CC5" w:rsidRPr="00761CC5">
        <w:rPr>
          <w:rFonts w:ascii="Times New Roman" w:hAnsi="Times New Roman" w:cs="Times New Roman"/>
          <w:sz w:val="24"/>
          <w:szCs w:val="24"/>
        </w:rPr>
        <w:t>(Craig, 2023)</w:t>
      </w:r>
      <w:r w:rsidRPr="001A3DE6">
        <w:rPr>
          <w:rFonts w:ascii="Times New Roman" w:hAnsi="Times New Roman" w:cs="Times New Roman"/>
          <w:sz w:val="24"/>
          <w:szCs w:val="24"/>
        </w:rPr>
        <w:t>.  Cloud-based service expenditure has been on the rise and is predicted to almost quadruple by 2026 in Australia and New Zealand. Increased innovation and the development of new goods and services are what has driven cloud adoption over the five-year period</w:t>
      </w:r>
      <w:r w:rsidR="00761CC5">
        <w:rPr>
          <w:rFonts w:ascii="Times New Roman" w:hAnsi="Times New Roman" w:cs="Times New Roman"/>
          <w:sz w:val="24"/>
          <w:szCs w:val="24"/>
        </w:rPr>
        <w:t xml:space="preserve"> </w:t>
      </w:r>
      <w:r w:rsidR="00761CC5" w:rsidRPr="00761CC5">
        <w:rPr>
          <w:rFonts w:ascii="Times New Roman" w:hAnsi="Times New Roman" w:cs="Times New Roman"/>
          <w:sz w:val="24"/>
          <w:szCs w:val="24"/>
        </w:rPr>
        <w:t>(Craig, 2023)</w:t>
      </w:r>
      <w:r w:rsidRPr="001A3DE6">
        <w:rPr>
          <w:rFonts w:ascii="Times New Roman" w:hAnsi="Times New Roman" w:cs="Times New Roman"/>
          <w:sz w:val="24"/>
          <w:szCs w:val="24"/>
        </w:rPr>
        <w:t>.  To avoid accrui</w:t>
      </w:r>
      <w:r w:rsidR="00BA2B64">
        <w:rPr>
          <w:rFonts w:ascii="Times New Roman" w:hAnsi="Times New Roman" w:cs="Times New Roman"/>
          <w:sz w:val="24"/>
          <w:szCs w:val="24"/>
        </w:rPr>
        <w:t>ng further technological debt, M</w:t>
      </w:r>
      <w:r w:rsidRPr="001A3DE6">
        <w:rPr>
          <w:rFonts w:ascii="Times New Roman" w:hAnsi="Times New Roman" w:cs="Times New Roman"/>
          <w:sz w:val="24"/>
          <w:szCs w:val="24"/>
        </w:rPr>
        <w:t>icrosoft has been bold and make the decision to update outdated systems immediately.</w:t>
      </w:r>
    </w:p>
    <w:p w:rsidR="00CD0B14" w:rsidRPr="00B163D2" w:rsidRDefault="00B00E67" w:rsidP="00043BF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CD0B14" w:rsidRPr="00B163D2">
        <w:rPr>
          <w:rFonts w:ascii="Times New Roman" w:hAnsi="Times New Roman" w:cs="Times New Roman"/>
          <w:sz w:val="24"/>
          <w:szCs w:val="24"/>
        </w:rPr>
        <w:t>Microsoft's M</w:t>
      </w:r>
      <w:r w:rsidR="00CD0B14">
        <w:rPr>
          <w:rFonts w:ascii="Times New Roman" w:hAnsi="Times New Roman" w:cs="Times New Roman"/>
          <w:sz w:val="24"/>
          <w:szCs w:val="24"/>
        </w:rPr>
        <w:t xml:space="preserve">arketable Securities portfolio </w:t>
      </w:r>
      <w:r w:rsidR="00CD0B14" w:rsidRPr="00B163D2">
        <w:rPr>
          <w:rFonts w:ascii="Times New Roman" w:hAnsi="Times New Roman" w:cs="Times New Roman"/>
          <w:sz w:val="24"/>
          <w:szCs w:val="24"/>
        </w:rPr>
        <w:t>grew in value from $1,862 million in 2018 to an expected $6,891 million by 2022. This is indicative of the company's heavy involvement in publicly traded securities, which often comprise exceptionally liquid short-term assets such as Treasury bills and banknotes.</w:t>
      </w:r>
    </w:p>
    <w:p w:rsidR="00B00E67" w:rsidRPr="00A23E82" w:rsidRDefault="00B00E67" w:rsidP="00043BF6">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356"/>
        <w:gridCol w:w="1263"/>
        <w:gridCol w:w="1264"/>
        <w:gridCol w:w="1264"/>
        <w:gridCol w:w="1265"/>
      </w:tblGrid>
      <w:tr w:rsidR="00B00E67" w:rsidRPr="00AC57C0" w:rsidTr="00B163D2">
        <w:tc>
          <w:tcPr>
            <w:tcW w:w="1870"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Data Items in millions</w:t>
            </w:r>
          </w:p>
        </w:tc>
        <w:tc>
          <w:tcPr>
            <w:tcW w:w="1356"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2022</w:t>
            </w:r>
          </w:p>
        </w:tc>
        <w:tc>
          <w:tcPr>
            <w:tcW w:w="1263"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2021</w:t>
            </w:r>
          </w:p>
        </w:tc>
        <w:tc>
          <w:tcPr>
            <w:tcW w:w="1264"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2020</w:t>
            </w:r>
          </w:p>
        </w:tc>
        <w:tc>
          <w:tcPr>
            <w:tcW w:w="1264"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2019</w:t>
            </w:r>
          </w:p>
        </w:tc>
        <w:tc>
          <w:tcPr>
            <w:tcW w:w="1265"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2018</w:t>
            </w:r>
          </w:p>
        </w:tc>
      </w:tr>
      <w:tr w:rsidR="00B00E67" w:rsidRPr="00AC57C0" w:rsidTr="00B163D2">
        <w:tc>
          <w:tcPr>
            <w:tcW w:w="1870" w:type="dxa"/>
          </w:tcPr>
          <w:p w:rsidR="00B00E67" w:rsidRPr="00AC57C0" w:rsidRDefault="00B00E67"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Marketable securities</w:t>
            </w:r>
          </w:p>
        </w:tc>
        <w:tc>
          <w:tcPr>
            <w:tcW w:w="1356" w:type="dxa"/>
          </w:tcPr>
          <w:p w:rsidR="00B00E67" w:rsidRPr="00AC57C0" w:rsidRDefault="00B00E67" w:rsidP="00043BF6">
            <w:pPr>
              <w:spacing w:line="480" w:lineRule="auto"/>
              <w:rPr>
                <w:rFonts w:ascii="Times New Roman" w:hAnsi="Times New Roman" w:cs="Times New Roman"/>
                <w:sz w:val="24"/>
                <w:szCs w:val="24"/>
              </w:rPr>
            </w:pPr>
            <w:r>
              <w:rPr>
                <w:rFonts w:ascii="Times New Roman" w:hAnsi="Times New Roman" w:cs="Times New Roman"/>
                <w:sz w:val="24"/>
                <w:szCs w:val="24"/>
              </w:rPr>
              <w:t>6891</w:t>
            </w:r>
          </w:p>
        </w:tc>
        <w:tc>
          <w:tcPr>
            <w:tcW w:w="1263" w:type="dxa"/>
          </w:tcPr>
          <w:p w:rsidR="00B00E67" w:rsidRPr="00AC57C0" w:rsidRDefault="00B163D2" w:rsidP="00043BF6">
            <w:pPr>
              <w:spacing w:line="480" w:lineRule="auto"/>
              <w:rPr>
                <w:rFonts w:ascii="Times New Roman" w:hAnsi="Times New Roman" w:cs="Times New Roman"/>
                <w:sz w:val="24"/>
                <w:szCs w:val="24"/>
              </w:rPr>
            </w:pPr>
            <w:r>
              <w:rPr>
                <w:rFonts w:ascii="Times New Roman" w:hAnsi="Times New Roman" w:cs="Times New Roman"/>
                <w:sz w:val="24"/>
                <w:szCs w:val="24"/>
              </w:rPr>
              <w:t>5984</w:t>
            </w:r>
          </w:p>
        </w:tc>
        <w:tc>
          <w:tcPr>
            <w:tcW w:w="1264" w:type="dxa"/>
          </w:tcPr>
          <w:p w:rsidR="00B00E67" w:rsidRPr="00AC57C0" w:rsidRDefault="00B163D2" w:rsidP="00043BF6">
            <w:pPr>
              <w:spacing w:line="480" w:lineRule="auto"/>
              <w:rPr>
                <w:rFonts w:ascii="Times New Roman" w:hAnsi="Times New Roman" w:cs="Times New Roman"/>
                <w:sz w:val="24"/>
                <w:szCs w:val="24"/>
              </w:rPr>
            </w:pPr>
            <w:r>
              <w:rPr>
                <w:rFonts w:ascii="Times New Roman" w:hAnsi="Times New Roman" w:cs="Times New Roman"/>
                <w:sz w:val="24"/>
                <w:szCs w:val="24"/>
              </w:rPr>
              <w:t>2965</w:t>
            </w:r>
          </w:p>
        </w:tc>
        <w:tc>
          <w:tcPr>
            <w:tcW w:w="1264" w:type="dxa"/>
          </w:tcPr>
          <w:p w:rsidR="00B00E67" w:rsidRPr="00AC57C0" w:rsidRDefault="00B163D2" w:rsidP="00043BF6">
            <w:pPr>
              <w:spacing w:line="480" w:lineRule="auto"/>
              <w:rPr>
                <w:rFonts w:ascii="Times New Roman" w:hAnsi="Times New Roman" w:cs="Times New Roman"/>
                <w:sz w:val="24"/>
                <w:szCs w:val="24"/>
              </w:rPr>
            </w:pPr>
            <w:r>
              <w:rPr>
                <w:rFonts w:ascii="Times New Roman" w:hAnsi="Times New Roman" w:cs="Times New Roman"/>
                <w:sz w:val="24"/>
                <w:szCs w:val="24"/>
              </w:rPr>
              <w:t>2649</w:t>
            </w:r>
          </w:p>
        </w:tc>
        <w:tc>
          <w:tcPr>
            <w:tcW w:w="1265" w:type="dxa"/>
          </w:tcPr>
          <w:p w:rsidR="00B00E67" w:rsidRPr="00AC57C0" w:rsidRDefault="00B163D2" w:rsidP="00043BF6">
            <w:pPr>
              <w:spacing w:line="480" w:lineRule="auto"/>
              <w:rPr>
                <w:rFonts w:ascii="Times New Roman" w:hAnsi="Times New Roman" w:cs="Times New Roman"/>
                <w:sz w:val="24"/>
                <w:szCs w:val="24"/>
              </w:rPr>
            </w:pPr>
            <w:r>
              <w:rPr>
                <w:rFonts w:ascii="Times New Roman" w:hAnsi="Times New Roman" w:cs="Times New Roman"/>
                <w:sz w:val="24"/>
                <w:szCs w:val="24"/>
              </w:rPr>
              <w:t>1862</w:t>
            </w:r>
          </w:p>
        </w:tc>
      </w:tr>
      <w:tr w:rsidR="00B163D2" w:rsidRPr="00AC57C0" w:rsidTr="00B163D2">
        <w:tc>
          <w:tcPr>
            <w:tcW w:w="1870" w:type="dxa"/>
          </w:tcPr>
          <w:p w:rsidR="00B163D2" w:rsidRPr="00AC57C0" w:rsidRDefault="00B163D2"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Equity</w:t>
            </w:r>
          </w:p>
        </w:tc>
        <w:tc>
          <w:tcPr>
            <w:tcW w:w="1356" w:type="dxa"/>
            <w:vAlign w:val="center"/>
          </w:tcPr>
          <w:p w:rsidR="00B163D2" w:rsidRPr="003A1E53" w:rsidRDefault="00B163D2" w:rsidP="00043BF6">
            <w:pPr>
              <w:spacing w:line="480" w:lineRule="auto"/>
              <w:jc w:val="right"/>
              <w:rPr>
                <w:rFonts w:ascii="Calibri" w:eastAsia="Times New Roman" w:hAnsi="Calibri" w:cs="Calibri"/>
                <w:color w:val="000000"/>
              </w:rPr>
            </w:pPr>
            <w:r w:rsidRPr="003A1E53">
              <w:rPr>
                <w:rFonts w:ascii="Calibri" w:eastAsia="Times New Roman" w:hAnsi="Calibri" w:cs="Calibri"/>
                <w:color w:val="000000"/>
              </w:rPr>
              <w:t>166542</w:t>
            </w:r>
          </w:p>
        </w:tc>
        <w:tc>
          <w:tcPr>
            <w:tcW w:w="1263" w:type="dxa"/>
            <w:vAlign w:val="center"/>
          </w:tcPr>
          <w:p w:rsidR="00B163D2" w:rsidRPr="003A1E53" w:rsidRDefault="00B163D2" w:rsidP="00043BF6">
            <w:pPr>
              <w:spacing w:line="480" w:lineRule="auto"/>
              <w:jc w:val="right"/>
              <w:rPr>
                <w:rFonts w:ascii="Calibri" w:eastAsia="Times New Roman" w:hAnsi="Calibri" w:cs="Calibri"/>
                <w:color w:val="000000"/>
              </w:rPr>
            </w:pPr>
            <w:r w:rsidRPr="003A1E53">
              <w:rPr>
                <w:rFonts w:ascii="Calibri" w:eastAsia="Times New Roman" w:hAnsi="Calibri" w:cs="Calibri"/>
                <w:color w:val="000000"/>
              </w:rPr>
              <w:t>141988</w:t>
            </w:r>
          </w:p>
        </w:tc>
        <w:tc>
          <w:tcPr>
            <w:tcW w:w="1264" w:type="dxa"/>
            <w:vAlign w:val="center"/>
          </w:tcPr>
          <w:p w:rsidR="00B163D2" w:rsidRPr="003A1E53" w:rsidRDefault="00B163D2" w:rsidP="00043BF6">
            <w:pPr>
              <w:spacing w:line="480" w:lineRule="auto"/>
              <w:jc w:val="right"/>
              <w:rPr>
                <w:rFonts w:ascii="Calibri" w:eastAsia="Times New Roman" w:hAnsi="Calibri" w:cs="Calibri"/>
                <w:color w:val="000000"/>
              </w:rPr>
            </w:pPr>
            <w:r w:rsidRPr="003A1E53">
              <w:rPr>
                <w:rFonts w:ascii="Calibri" w:eastAsia="Times New Roman" w:hAnsi="Calibri" w:cs="Calibri"/>
                <w:color w:val="000000"/>
              </w:rPr>
              <w:t>118304</w:t>
            </w:r>
          </w:p>
        </w:tc>
        <w:tc>
          <w:tcPr>
            <w:tcW w:w="1264" w:type="dxa"/>
            <w:vAlign w:val="center"/>
          </w:tcPr>
          <w:p w:rsidR="00B163D2" w:rsidRPr="003A1E53" w:rsidRDefault="00B163D2" w:rsidP="00043BF6">
            <w:pPr>
              <w:spacing w:line="480" w:lineRule="auto"/>
              <w:jc w:val="right"/>
              <w:rPr>
                <w:rFonts w:ascii="Calibri" w:eastAsia="Times New Roman" w:hAnsi="Calibri" w:cs="Calibri"/>
                <w:color w:val="000000"/>
              </w:rPr>
            </w:pPr>
            <w:r w:rsidRPr="003A1E53">
              <w:rPr>
                <w:rFonts w:ascii="Calibri" w:eastAsia="Times New Roman" w:hAnsi="Calibri" w:cs="Calibri"/>
                <w:color w:val="000000"/>
              </w:rPr>
              <w:t>102330</w:t>
            </w:r>
          </w:p>
        </w:tc>
        <w:tc>
          <w:tcPr>
            <w:tcW w:w="1265" w:type="dxa"/>
            <w:vAlign w:val="center"/>
          </w:tcPr>
          <w:p w:rsidR="00B163D2" w:rsidRPr="003A1E53" w:rsidRDefault="00B163D2" w:rsidP="00043BF6">
            <w:pPr>
              <w:spacing w:line="480" w:lineRule="auto"/>
              <w:jc w:val="right"/>
              <w:rPr>
                <w:rFonts w:ascii="Calibri" w:eastAsia="Times New Roman" w:hAnsi="Calibri" w:cs="Calibri"/>
                <w:color w:val="000000"/>
              </w:rPr>
            </w:pPr>
            <w:r w:rsidRPr="003A1E53">
              <w:rPr>
                <w:rFonts w:ascii="Calibri" w:eastAsia="Times New Roman" w:hAnsi="Calibri" w:cs="Calibri"/>
                <w:color w:val="000000"/>
              </w:rPr>
              <w:t>82718</w:t>
            </w:r>
          </w:p>
        </w:tc>
      </w:tr>
      <w:tr w:rsidR="00B163D2" w:rsidRPr="00AC57C0" w:rsidTr="00514E49">
        <w:tc>
          <w:tcPr>
            <w:tcW w:w="1870" w:type="dxa"/>
          </w:tcPr>
          <w:p w:rsidR="00B163D2" w:rsidRPr="00AC57C0" w:rsidRDefault="00B163D2" w:rsidP="00043BF6">
            <w:pPr>
              <w:spacing w:line="480" w:lineRule="auto"/>
              <w:rPr>
                <w:rFonts w:ascii="Times New Roman" w:hAnsi="Times New Roman" w:cs="Times New Roman"/>
                <w:sz w:val="24"/>
                <w:szCs w:val="24"/>
              </w:rPr>
            </w:pPr>
            <w:r w:rsidRPr="00AC57C0">
              <w:rPr>
                <w:rFonts w:ascii="Times New Roman" w:hAnsi="Times New Roman" w:cs="Times New Roman"/>
                <w:sz w:val="24"/>
                <w:szCs w:val="24"/>
              </w:rPr>
              <w:t>Marketable Securities/Equity</w:t>
            </w:r>
          </w:p>
        </w:tc>
        <w:tc>
          <w:tcPr>
            <w:tcW w:w="1356" w:type="dxa"/>
            <w:tcBorders>
              <w:top w:val="nil"/>
              <w:left w:val="nil"/>
              <w:bottom w:val="single" w:sz="8" w:space="0" w:color="auto"/>
              <w:right w:val="single" w:sz="8" w:space="0" w:color="auto"/>
            </w:tcBorders>
            <w:shd w:val="clear" w:color="auto" w:fill="auto"/>
          </w:tcPr>
          <w:p w:rsidR="00B163D2" w:rsidRPr="00B163D2" w:rsidRDefault="00B163D2" w:rsidP="00043BF6">
            <w:pPr>
              <w:spacing w:line="480" w:lineRule="auto"/>
              <w:jc w:val="right"/>
              <w:rPr>
                <w:rFonts w:ascii="Calibri" w:eastAsia="Times New Roman" w:hAnsi="Calibri" w:cs="Calibri"/>
                <w:color w:val="000000"/>
              </w:rPr>
            </w:pPr>
            <w:r w:rsidRPr="00B163D2">
              <w:rPr>
                <w:rFonts w:ascii="Calibri" w:eastAsia="Times New Roman" w:hAnsi="Calibri" w:cs="Calibri"/>
                <w:color w:val="000000"/>
              </w:rPr>
              <w:t>0.04137695</w:t>
            </w:r>
          </w:p>
        </w:tc>
        <w:tc>
          <w:tcPr>
            <w:tcW w:w="1263" w:type="dxa"/>
            <w:tcBorders>
              <w:top w:val="nil"/>
              <w:left w:val="nil"/>
              <w:bottom w:val="single" w:sz="8" w:space="0" w:color="auto"/>
              <w:right w:val="single" w:sz="8" w:space="0" w:color="auto"/>
            </w:tcBorders>
            <w:shd w:val="clear" w:color="auto" w:fill="auto"/>
          </w:tcPr>
          <w:p w:rsidR="00B163D2" w:rsidRPr="00B163D2" w:rsidRDefault="00B163D2" w:rsidP="00043BF6">
            <w:pPr>
              <w:spacing w:line="480" w:lineRule="auto"/>
              <w:jc w:val="right"/>
              <w:rPr>
                <w:rFonts w:ascii="Calibri" w:eastAsia="Times New Roman" w:hAnsi="Calibri" w:cs="Calibri"/>
                <w:color w:val="000000"/>
              </w:rPr>
            </w:pPr>
            <w:r w:rsidRPr="00B163D2">
              <w:rPr>
                <w:rFonts w:ascii="Calibri" w:eastAsia="Times New Roman" w:hAnsi="Calibri" w:cs="Calibri"/>
                <w:color w:val="000000"/>
              </w:rPr>
              <w:t>0.042144</w:t>
            </w:r>
          </w:p>
        </w:tc>
        <w:tc>
          <w:tcPr>
            <w:tcW w:w="1264" w:type="dxa"/>
            <w:tcBorders>
              <w:top w:val="nil"/>
              <w:left w:val="nil"/>
              <w:bottom w:val="single" w:sz="8" w:space="0" w:color="auto"/>
              <w:right w:val="single" w:sz="8" w:space="0" w:color="auto"/>
            </w:tcBorders>
            <w:shd w:val="clear" w:color="auto" w:fill="auto"/>
          </w:tcPr>
          <w:p w:rsidR="00B163D2" w:rsidRPr="00B163D2" w:rsidRDefault="00B163D2" w:rsidP="00043BF6">
            <w:pPr>
              <w:spacing w:line="480" w:lineRule="auto"/>
              <w:jc w:val="right"/>
              <w:rPr>
                <w:rFonts w:ascii="Calibri" w:eastAsia="Times New Roman" w:hAnsi="Calibri" w:cs="Calibri"/>
                <w:color w:val="000000"/>
              </w:rPr>
            </w:pPr>
            <w:r w:rsidRPr="00B163D2">
              <w:rPr>
                <w:rFonts w:ascii="Calibri" w:eastAsia="Times New Roman" w:hAnsi="Calibri" w:cs="Calibri"/>
                <w:color w:val="000000"/>
              </w:rPr>
              <w:t>0.025063</w:t>
            </w:r>
          </w:p>
        </w:tc>
        <w:tc>
          <w:tcPr>
            <w:tcW w:w="1264" w:type="dxa"/>
            <w:tcBorders>
              <w:top w:val="nil"/>
              <w:left w:val="nil"/>
              <w:bottom w:val="single" w:sz="8" w:space="0" w:color="auto"/>
              <w:right w:val="single" w:sz="8" w:space="0" w:color="auto"/>
            </w:tcBorders>
            <w:shd w:val="clear" w:color="auto" w:fill="auto"/>
          </w:tcPr>
          <w:p w:rsidR="00B163D2" w:rsidRPr="00B163D2" w:rsidRDefault="00B163D2" w:rsidP="00043BF6">
            <w:pPr>
              <w:spacing w:line="480" w:lineRule="auto"/>
              <w:jc w:val="right"/>
              <w:rPr>
                <w:rFonts w:ascii="Calibri" w:eastAsia="Times New Roman" w:hAnsi="Calibri" w:cs="Calibri"/>
                <w:color w:val="000000"/>
              </w:rPr>
            </w:pPr>
            <w:r w:rsidRPr="00B163D2">
              <w:rPr>
                <w:rFonts w:ascii="Calibri" w:eastAsia="Times New Roman" w:hAnsi="Calibri" w:cs="Calibri"/>
                <w:color w:val="000000"/>
              </w:rPr>
              <w:t>0.025887</w:t>
            </w:r>
          </w:p>
        </w:tc>
        <w:tc>
          <w:tcPr>
            <w:tcW w:w="1265" w:type="dxa"/>
            <w:tcBorders>
              <w:top w:val="nil"/>
              <w:left w:val="nil"/>
              <w:bottom w:val="single" w:sz="8" w:space="0" w:color="auto"/>
              <w:right w:val="single" w:sz="8" w:space="0" w:color="auto"/>
            </w:tcBorders>
            <w:shd w:val="clear" w:color="auto" w:fill="auto"/>
          </w:tcPr>
          <w:p w:rsidR="00B163D2" w:rsidRPr="00B163D2" w:rsidRDefault="00B163D2" w:rsidP="00043BF6">
            <w:pPr>
              <w:spacing w:line="480" w:lineRule="auto"/>
              <w:jc w:val="right"/>
              <w:rPr>
                <w:rFonts w:ascii="Calibri" w:eastAsia="Times New Roman" w:hAnsi="Calibri" w:cs="Calibri"/>
                <w:color w:val="000000"/>
              </w:rPr>
            </w:pPr>
            <w:r w:rsidRPr="00B163D2">
              <w:rPr>
                <w:rFonts w:ascii="Calibri" w:eastAsia="Times New Roman" w:hAnsi="Calibri" w:cs="Calibri"/>
                <w:color w:val="000000"/>
              </w:rPr>
              <w:t>0.02251</w:t>
            </w:r>
          </w:p>
        </w:tc>
      </w:tr>
    </w:tbl>
    <w:p w:rsidR="00B163D2" w:rsidRPr="00AB5A9B" w:rsidRDefault="00AB5A9B" w:rsidP="00043BF6">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Table 7: Microsoft’s </w:t>
      </w:r>
      <w:r>
        <w:rPr>
          <w:rFonts w:ascii="Times New Roman" w:hAnsi="Times New Roman" w:cs="Times New Roman"/>
          <w:i/>
          <w:sz w:val="24"/>
          <w:szCs w:val="24"/>
        </w:rPr>
        <w:t>Marketable securities/Equity</w:t>
      </w:r>
    </w:p>
    <w:p w:rsidR="00B163D2" w:rsidRPr="00B163D2" w:rsidRDefault="00B163D2" w:rsidP="00043BF6">
      <w:pPr>
        <w:spacing w:line="480" w:lineRule="auto"/>
        <w:ind w:firstLine="720"/>
        <w:rPr>
          <w:rFonts w:ascii="Times New Roman" w:hAnsi="Times New Roman" w:cs="Times New Roman"/>
          <w:sz w:val="24"/>
          <w:szCs w:val="24"/>
        </w:rPr>
      </w:pPr>
      <w:r w:rsidRPr="00B163D2">
        <w:rPr>
          <w:rFonts w:ascii="Times New Roman" w:hAnsi="Times New Roman" w:cs="Times New Roman"/>
          <w:sz w:val="24"/>
          <w:szCs w:val="24"/>
        </w:rPr>
        <w:t>The increasing Marketable Assets to Equity ratio at Microsoft is indicative of the company's cautious and well-rounded investment strategy. The corporation does not depend primarily on marketable assets as a large percentage of shareholder's equity, but it does diligently oversee them to preserve liquidity and control risk.</w:t>
      </w:r>
    </w:p>
    <w:p w:rsidR="00074F0A" w:rsidRDefault="009A40CC" w:rsidP="00043BF6">
      <w:pPr>
        <w:spacing w:line="480" w:lineRule="auto"/>
        <w:rPr>
          <w:rFonts w:ascii="Times New Roman" w:hAnsi="Times New Roman" w:cs="Times New Roman"/>
          <w:b/>
          <w:sz w:val="24"/>
          <w:szCs w:val="24"/>
        </w:rPr>
      </w:pPr>
      <w:r>
        <w:rPr>
          <w:rFonts w:ascii="Times New Roman" w:hAnsi="Times New Roman" w:cs="Times New Roman"/>
          <w:b/>
          <w:sz w:val="24"/>
          <w:szCs w:val="24"/>
        </w:rPr>
        <w:t>Earnings Management</w:t>
      </w:r>
    </w:p>
    <w:p w:rsidR="009A40CC" w:rsidRDefault="009A40CC" w:rsidP="00043BF6">
      <w:pPr>
        <w:spacing w:line="480" w:lineRule="auto"/>
        <w:rPr>
          <w:rFonts w:ascii="Times New Roman" w:hAnsi="Times New Roman" w:cs="Times New Roman"/>
          <w:b/>
          <w:sz w:val="24"/>
          <w:szCs w:val="24"/>
        </w:rPr>
      </w:pPr>
      <w:r>
        <w:rPr>
          <w:rFonts w:ascii="Times New Roman" w:hAnsi="Times New Roman" w:cs="Times New Roman"/>
          <w:b/>
          <w:sz w:val="24"/>
          <w:szCs w:val="24"/>
        </w:rPr>
        <w:tab/>
        <w:t>Apple Inc.</w:t>
      </w:r>
    </w:p>
    <w:p w:rsidR="00571925" w:rsidRDefault="00743AE9" w:rsidP="00043BF6">
      <w:pPr>
        <w:spacing w:line="480" w:lineRule="auto"/>
        <w:rPr>
          <w:rFonts w:ascii="Times New Roman" w:hAnsi="Times New Roman" w:cs="Times New Roman"/>
          <w:b/>
          <w:i/>
          <w:sz w:val="24"/>
          <w:szCs w:val="24"/>
        </w:rPr>
      </w:pPr>
      <w:r>
        <w:rPr>
          <w:rFonts w:ascii="Times New Roman" w:hAnsi="Times New Roman" w:cs="Times New Roman"/>
          <w:b/>
          <w:sz w:val="24"/>
          <w:szCs w:val="24"/>
        </w:rPr>
        <w:tab/>
      </w:r>
      <w:r w:rsidRPr="000855CD">
        <w:rPr>
          <w:rFonts w:ascii="Times New Roman" w:hAnsi="Times New Roman" w:cs="Times New Roman"/>
          <w:sz w:val="24"/>
          <w:szCs w:val="24"/>
        </w:rPr>
        <w:t xml:space="preserve">Apple generates and files local entity legal accounting records using U.S. GAAP.IFRS is used in the preparation of many these kinds of local statutory filings. The Company begins the preparation of these local legal filings based on local entity's results under U.S. GAAP and </w:t>
      </w:r>
      <w:r w:rsidRPr="000855CD">
        <w:rPr>
          <w:rFonts w:ascii="Times New Roman" w:hAnsi="Times New Roman" w:cs="Times New Roman"/>
          <w:sz w:val="24"/>
          <w:szCs w:val="24"/>
        </w:rPr>
        <w:lastRenderedPageBreak/>
        <w:t>then makes any necessary adjustments to the local entity's books to account for the discrepancies between U.S. GAAP and IFRS</w:t>
      </w:r>
      <w:r w:rsidR="00717696">
        <w:rPr>
          <w:rFonts w:ascii="Times New Roman" w:hAnsi="Times New Roman" w:cs="Times New Roman"/>
          <w:sz w:val="24"/>
          <w:szCs w:val="24"/>
        </w:rPr>
        <w:t xml:space="preserve"> </w:t>
      </w:r>
      <w:r w:rsidR="00717696" w:rsidRPr="00717696">
        <w:rPr>
          <w:rFonts w:ascii="Times New Roman" w:hAnsi="Times New Roman" w:cs="Times New Roman"/>
          <w:sz w:val="24"/>
          <w:szCs w:val="24"/>
        </w:rPr>
        <w:t>(Hoogervost &amp; Golden, 2023)</w:t>
      </w:r>
      <w:r w:rsidRPr="000855CD">
        <w:rPr>
          <w:rFonts w:ascii="Times New Roman" w:hAnsi="Times New Roman" w:cs="Times New Roman"/>
          <w:sz w:val="24"/>
          <w:szCs w:val="24"/>
        </w:rPr>
        <w:t>. These regional GAAP changes are simple to spot since they are usually isolated events. The nature of the adjustment allows for determination at the overall scale rather than the transaction level, even if the adjustment is related to a lar</w:t>
      </w:r>
      <w:r w:rsidR="00717696">
        <w:rPr>
          <w:rFonts w:ascii="Times New Roman" w:hAnsi="Times New Roman" w:cs="Times New Roman"/>
          <w:sz w:val="24"/>
          <w:szCs w:val="24"/>
        </w:rPr>
        <w:t>ge number of transactions</w:t>
      </w:r>
      <w:r w:rsidR="00CF5797">
        <w:rPr>
          <w:rFonts w:ascii="Times New Roman" w:hAnsi="Times New Roman" w:cs="Times New Roman"/>
          <w:sz w:val="24"/>
          <w:szCs w:val="24"/>
        </w:rPr>
        <w:t xml:space="preserve"> </w:t>
      </w:r>
      <w:r w:rsidR="00CF5797" w:rsidRPr="00CF5797">
        <w:rPr>
          <w:rFonts w:ascii="Times New Roman" w:hAnsi="Times New Roman" w:cs="Times New Roman"/>
          <w:sz w:val="24"/>
          <w:szCs w:val="24"/>
        </w:rPr>
        <w:t>(Hoogervost &amp; Golden, 2023)</w:t>
      </w:r>
      <w:r w:rsidR="00717696">
        <w:rPr>
          <w:rFonts w:ascii="Times New Roman" w:hAnsi="Times New Roman" w:cs="Times New Roman"/>
          <w:sz w:val="24"/>
          <w:szCs w:val="24"/>
        </w:rPr>
        <w:t>.</w:t>
      </w:r>
    </w:p>
    <w:p w:rsidR="00704B46" w:rsidRDefault="00704B46" w:rsidP="00043BF6">
      <w:pPr>
        <w:spacing w:line="480" w:lineRule="auto"/>
        <w:rPr>
          <w:rFonts w:ascii="Times New Roman" w:hAnsi="Times New Roman" w:cs="Times New Roman"/>
          <w:b/>
          <w:sz w:val="24"/>
          <w:szCs w:val="24"/>
        </w:rPr>
      </w:pPr>
      <w:r>
        <w:rPr>
          <w:rFonts w:ascii="Times New Roman" w:hAnsi="Times New Roman" w:cs="Times New Roman"/>
          <w:b/>
          <w:i/>
          <w:sz w:val="24"/>
          <w:szCs w:val="24"/>
        </w:rPr>
        <w:tab/>
      </w:r>
      <w:r>
        <w:rPr>
          <w:rFonts w:ascii="Times New Roman" w:hAnsi="Times New Roman" w:cs="Times New Roman"/>
          <w:b/>
          <w:sz w:val="24"/>
          <w:szCs w:val="24"/>
        </w:rPr>
        <w:t>Microsoft Corporation</w:t>
      </w:r>
    </w:p>
    <w:p w:rsidR="00211334" w:rsidRPr="00DF3566" w:rsidRDefault="00704B46" w:rsidP="00043BF6">
      <w:pPr>
        <w:spacing w:line="480" w:lineRule="auto"/>
        <w:rPr>
          <w:rFonts w:ascii="Times New Roman" w:hAnsi="Times New Roman" w:cs="Times New Roman"/>
          <w:sz w:val="24"/>
          <w:szCs w:val="24"/>
        </w:rPr>
      </w:pPr>
      <w:r>
        <w:rPr>
          <w:rFonts w:ascii="Times New Roman" w:hAnsi="Times New Roman" w:cs="Times New Roman"/>
          <w:b/>
          <w:sz w:val="24"/>
          <w:szCs w:val="24"/>
        </w:rPr>
        <w:tab/>
      </w:r>
      <w:r w:rsidR="00413654" w:rsidRPr="00DF3566">
        <w:rPr>
          <w:rFonts w:ascii="Times New Roman" w:hAnsi="Times New Roman" w:cs="Times New Roman"/>
          <w:sz w:val="24"/>
          <w:szCs w:val="24"/>
        </w:rPr>
        <w:t>Microsoft's balance sheets and notes thereto are been prepared using widely r</w:t>
      </w:r>
      <w:r w:rsidR="00171A8A">
        <w:rPr>
          <w:rFonts w:ascii="Times New Roman" w:hAnsi="Times New Roman" w:cs="Times New Roman"/>
          <w:sz w:val="24"/>
          <w:szCs w:val="24"/>
        </w:rPr>
        <w:t>ecognized accounting standards.</w:t>
      </w:r>
      <w:r w:rsidR="00413654" w:rsidRPr="00DF3566">
        <w:rPr>
          <w:rFonts w:ascii="Times New Roman" w:hAnsi="Times New Roman" w:cs="Times New Roman"/>
          <w:sz w:val="24"/>
          <w:szCs w:val="24"/>
        </w:rPr>
        <w:t xml:space="preserve"> The AICPA Statement of Position (SOP) 97-2, Software Revenue Recognition, and the AICPA Statement of Position (SOP) 98-9, Modification of SOP 97-2, With Respect to Certain Transactions, are both followed by the company when determining how to properly account for sales</w:t>
      </w:r>
      <w:r w:rsidR="00496B33">
        <w:rPr>
          <w:rFonts w:ascii="Times New Roman" w:hAnsi="Times New Roman" w:cs="Times New Roman"/>
          <w:sz w:val="24"/>
          <w:szCs w:val="24"/>
        </w:rPr>
        <w:t xml:space="preserve"> (Microsoft </w:t>
      </w:r>
      <w:r w:rsidR="00496B33" w:rsidRPr="00496B33">
        <w:rPr>
          <w:rFonts w:ascii="Times New Roman" w:hAnsi="Times New Roman" w:cs="Times New Roman"/>
          <w:sz w:val="24"/>
          <w:szCs w:val="24"/>
        </w:rPr>
        <w:t>2023)</w:t>
      </w:r>
      <w:r w:rsidR="00413654" w:rsidRPr="00DF3566">
        <w:rPr>
          <w:rFonts w:ascii="Times New Roman" w:hAnsi="Times New Roman" w:cs="Times New Roman"/>
          <w:sz w:val="24"/>
          <w:szCs w:val="24"/>
        </w:rPr>
        <w:t xml:space="preserve">.  </w:t>
      </w:r>
    </w:p>
    <w:p w:rsidR="00413654" w:rsidRPr="00DF3566" w:rsidRDefault="00413654" w:rsidP="00043BF6">
      <w:pPr>
        <w:spacing w:line="480" w:lineRule="auto"/>
        <w:ind w:firstLine="720"/>
        <w:rPr>
          <w:rFonts w:ascii="Times New Roman" w:hAnsi="Times New Roman" w:cs="Times New Roman"/>
          <w:sz w:val="24"/>
          <w:szCs w:val="24"/>
        </w:rPr>
      </w:pPr>
      <w:r w:rsidRPr="00DF3566">
        <w:rPr>
          <w:rFonts w:ascii="Times New Roman" w:hAnsi="Times New Roman" w:cs="Times New Roman"/>
          <w:sz w:val="24"/>
          <w:szCs w:val="24"/>
        </w:rPr>
        <w:t>When an OEM ships a product that was licensed by the OEM, the related revenue is documented, whereas income from specific licensing programs is recognized when the computer program is delivered and billed to the client.  When related items are dispatched, sales revenue is recorded for packaged goods sold to distributors and dealers.  Revenue from subscriptions and ongoing service is recognized on a prorated basis over the term of the agreement</w:t>
      </w:r>
      <w:r w:rsidR="007D3733">
        <w:rPr>
          <w:rFonts w:ascii="Times New Roman" w:hAnsi="Times New Roman" w:cs="Times New Roman"/>
          <w:sz w:val="24"/>
          <w:szCs w:val="24"/>
        </w:rPr>
        <w:t xml:space="preserve"> (Microsoft 2023</w:t>
      </w:r>
      <w:r w:rsidRPr="00DF3566">
        <w:rPr>
          <w:rFonts w:ascii="Times New Roman" w:hAnsi="Times New Roman" w:cs="Times New Roman"/>
          <w:sz w:val="24"/>
          <w:szCs w:val="24"/>
        </w:rPr>
        <w:t>.  Undelivered components, such as technical assistance and web browser technology, have their associated sales revenue amortized throughout the product's useful life at a straight-line rate depending on the average selling price of those components.  Sales are recorded when they are received rather than waiting for fulfillment of all revenue recognition requirements for reseller and distributor agreements</w:t>
      </w:r>
      <w:r w:rsidR="007D3733">
        <w:rPr>
          <w:rFonts w:ascii="Times New Roman" w:hAnsi="Times New Roman" w:cs="Times New Roman"/>
          <w:sz w:val="24"/>
          <w:szCs w:val="24"/>
        </w:rPr>
        <w:t xml:space="preserve"> (Microsoft </w:t>
      </w:r>
      <w:r w:rsidR="007D3733" w:rsidRPr="007D3733">
        <w:rPr>
          <w:rFonts w:ascii="Times New Roman" w:hAnsi="Times New Roman" w:cs="Times New Roman"/>
          <w:sz w:val="24"/>
          <w:szCs w:val="24"/>
        </w:rPr>
        <w:t>2023)</w:t>
      </w:r>
      <w:r w:rsidR="007D3733">
        <w:rPr>
          <w:rFonts w:ascii="Times New Roman" w:hAnsi="Times New Roman" w:cs="Times New Roman"/>
          <w:sz w:val="24"/>
          <w:szCs w:val="24"/>
        </w:rPr>
        <w:t>)</w:t>
      </w:r>
      <w:r w:rsidRPr="00DF3566">
        <w:rPr>
          <w:rFonts w:ascii="Times New Roman" w:hAnsi="Times New Roman" w:cs="Times New Roman"/>
          <w:sz w:val="24"/>
          <w:szCs w:val="24"/>
        </w:rPr>
        <w:t>.  Minor commitments, such as providing telephone assistance for specific items, incur costs.  Returns and bad debts are accounted for in the books.</w:t>
      </w:r>
    </w:p>
    <w:p w:rsidR="00704B46" w:rsidRPr="00704B46" w:rsidRDefault="00704B46" w:rsidP="00043BF6">
      <w:pPr>
        <w:spacing w:line="480" w:lineRule="auto"/>
        <w:rPr>
          <w:rFonts w:ascii="Times New Roman" w:hAnsi="Times New Roman" w:cs="Times New Roman"/>
          <w:sz w:val="24"/>
          <w:szCs w:val="24"/>
        </w:rPr>
      </w:pPr>
    </w:p>
    <w:p w:rsidR="00074F0A" w:rsidRDefault="003038A6" w:rsidP="00043BF6">
      <w:pPr>
        <w:tabs>
          <w:tab w:val="left" w:pos="2190"/>
        </w:tabs>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Firm Valuation</w:t>
      </w:r>
    </w:p>
    <w:p w:rsidR="003038A6" w:rsidRDefault="00ED4BCA" w:rsidP="00043BF6">
      <w:pPr>
        <w:tabs>
          <w:tab w:val="left" w:pos="2190"/>
        </w:tabs>
        <w:spacing w:line="480" w:lineRule="auto"/>
        <w:ind w:firstLine="990"/>
        <w:rPr>
          <w:rFonts w:ascii="Times New Roman" w:hAnsi="Times New Roman" w:cs="Times New Roman"/>
          <w:b/>
          <w:i/>
          <w:sz w:val="24"/>
          <w:szCs w:val="24"/>
        </w:rPr>
      </w:pPr>
      <w:r>
        <w:rPr>
          <w:rFonts w:ascii="Times New Roman" w:hAnsi="Times New Roman" w:cs="Times New Roman"/>
          <w:b/>
          <w:i/>
          <w:sz w:val="24"/>
          <w:szCs w:val="24"/>
        </w:rPr>
        <w:t xml:space="preserve">Apple Inc. </w:t>
      </w:r>
      <w:r w:rsidR="00A110C6" w:rsidRPr="00A110C6">
        <w:rPr>
          <w:rFonts w:ascii="Times New Roman" w:hAnsi="Times New Roman" w:cs="Times New Roman"/>
          <w:b/>
          <w:i/>
          <w:sz w:val="24"/>
          <w:szCs w:val="24"/>
        </w:rPr>
        <w:t>WACC</w:t>
      </w:r>
    </w:p>
    <w:p w:rsidR="00A110C6" w:rsidRDefault="00807D9E" w:rsidP="00043BF6">
      <w:pPr>
        <w:tabs>
          <w:tab w:val="left" w:pos="2190"/>
        </w:tabs>
        <w:spacing w:line="480" w:lineRule="auto"/>
        <w:ind w:firstLine="720"/>
        <w:rPr>
          <w:rFonts w:ascii="Times New Roman" w:hAnsi="Times New Roman" w:cs="Times New Roman"/>
          <w:sz w:val="24"/>
          <w:szCs w:val="24"/>
        </w:rPr>
      </w:pPr>
      <w:r w:rsidRPr="007159A6">
        <w:rPr>
          <w:rFonts w:ascii="Times New Roman" w:hAnsi="Times New Roman" w:cs="Times New Roman"/>
          <w:sz w:val="24"/>
          <w:szCs w:val="24"/>
        </w:rPr>
        <w:t>After accounting for tax effects, the total cost of a company's stock, preferred stock, bonds, and other types of debt is known as the weighted average cost of capital (WACC).</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8A0A04" w:rsidTr="00E16B1D">
        <w:trPr>
          <w:trHeight w:val="85"/>
        </w:trPr>
        <w:tc>
          <w:tcPr>
            <w:tcW w:w="1566" w:type="dxa"/>
          </w:tcPr>
          <w:p w:rsidR="008A0A04" w:rsidRDefault="008A0A04" w:rsidP="00043BF6">
            <w:pPr>
              <w:tabs>
                <w:tab w:val="left" w:pos="2190"/>
              </w:tabs>
              <w:spacing w:line="480" w:lineRule="auto"/>
              <w:rPr>
                <w:rFonts w:ascii="Times New Roman" w:hAnsi="Times New Roman" w:cs="Times New Roman"/>
                <w:sz w:val="24"/>
                <w:szCs w:val="24"/>
              </w:rPr>
            </w:pP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2022</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2021</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2020</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2019</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2018</w:t>
            </w:r>
          </w:p>
        </w:tc>
      </w:tr>
      <w:tr w:rsidR="008A0A04" w:rsidTr="008A0A04">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WACC</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11.18</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8.85</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8.06</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7.69</w:t>
            </w:r>
          </w:p>
        </w:tc>
        <w:tc>
          <w:tcPr>
            <w:tcW w:w="1566" w:type="dxa"/>
          </w:tcPr>
          <w:p w:rsidR="008A0A04" w:rsidRDefault="008A0A04"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9.88</w:t>
            </w:r>
          </w:p>
        </w:tc>
      </w:tr>
    </w:tbl>
    <w:p w:rsidR="00D6005E" w:rsidRPr="00D6005E" w:rsidRDefault="00D6005E" w:rsidP="00043BF6">
      <w:pPr>
        <w:tabs>
          <w:tab w:val="left" w:pos="2190"/>
        </w:tabs>
        <w:spacing w:line="480" w:lineRule="auto"/>
        <w:rPr>
          <w:rFonts w:ascii="Times New Roman" w:hAnsi="Times New Roman" w:cs="Times New Roman"/>
          <w:i/>
          <w:sz w:val="24"/>
          <w:szCs w:val="24"/>
        </w:rPr>
      </w:pPr>
      <w:r>
        <w:rPr>
          <w:rFonts w:ascii="Times New Roman" w:hAnsi="Times New Roman" w:cs="Times New Roman"/>
          <w:i/>
          <w:sz w:val="24"/>
          <w:szCs w:val="24"/>
        </w:rPr>
        <w:t>Table 8: Apple Inc. five year WACC</w:t>
      </w:r>
    </w:p>
    <w:p w:rsidR="008A0A04" w:rsidRDefault="00AC7E70" w:rsidP="00043BF6">
      <w:pPr>
        <w:tabs>
          <w:tab w:val="left" w:pos="2190"/>
        </w:tabs>
        <w:spacing w:line="480" w:lineRule="auto"/>
        <w:ind w:firstLine="720"/>
        <w:rPr>
          <w:rFonts w:ascii="Times New Roman" w:hAnsi="Times New Roman" w:cs="Times New Roman"/>
          <w:sz w:val="24"/>
          <w:szCs w:val="24"/>
        </w:rPr>
      </w:pPr>
      <w:r w:rsidRPr="00AC7E70">
        <w:rPr>
          <w:rFonts w:ascii="Times New Roman" w:hAnsi="Times New Roman" w:cs="Times New Roman"/>
          <w:sz w:val="24"/>
          <w:szCs w:val="24"/>
        </w:rPr>
        <w:t>Over the last five years, Apple's WACC has risen steadily. Starting at 7.69% i</w:t>
      </w:r>
      <w:r w:rsidR="009160E8">
        <w:rPr>
          <w:rFonts w:ascii="Times New Roman" w:hAnsi="Times New Roman" w:cs="Times New Roman"/>
          <w:sz w:val="24"/>
          <w:szCs w:val="24"/>
        </w:rPr>
        <w:t>n 2019, </w:t>
      </w:r>
      <w:r w:rsidRPr="00AC7E70">
        <w:rPr>
          <w:rFonts w:ascii="Times New Roman" w:hAnsi="Times New Roman" w:cs="Times New Roman"/>
          <w:sz w:val="24"/>
          <w:szCs w:val="24"/>
        </w:rPr>
        <w:t>and had increased to 11.18% by 2022. The growing WACC shows that Apple's cost of capital has been on the rise over this time frame.</w:t>
      </w:r>
      <w:r w:rsidR="009B40CF">
        <w:rPr>
          <w:rFonts w:ascii="Times New Roman" w:hAnsi="Times New Roman" w:cs="Times New Roman"/>
          <w:sz w:val="24"/>
          <w:szCs w:val="24"/>
        </w:rPr>
        <w:t xml:space="preserve"> </w:t>
      </w:r>
      <w:r w:rsidR="009B40CF" w:rsidRPr="009B40CF">
        <w:rPr>
          <w:rFonts w:ascii="Times New Roman" w:hAnsi="Times New Roman" w:cs="Times New Roman"/>
          <w:sz w:val="24"/>
          <w:szCs w:val="24"/>
        </w:rPr>
        <w:t>The rising WACC means that raising capital has become more expensive for Apple. This increase could be due to changes in debt costs because Apple has accumulated signif</w:t>
      </w:r>
      <w:r w:rsidR="009B40CF">
        <w:rPr>
          <w:rFonts w:ascii="Times New Roman" w:hAnsi="Times New Roman" w:cs="Times New Roman"/>
          <w:sz w:val="24"/>
          <w:szCs w:val="24"/>
        </w:rPr>
        <w:t xml:space="preserve">icant debt to fund its operations. Apple’s debt has risen considerably since the company is now focusing reducing shareholder’s equity through its aggressive buy back </w:t>
      </w:r>
      <w:r w:rsidR="0023543B">
        <w:rPr>
          <w:rFonts w:ascii="Times New Roman" w:hAnsi="Times New Roman" w:cs="Times New Roman"/>
          <w:sz w:val="24"/>
          <w:szCs w:val="24"/>
        </w:rPr>
        <w:t xml:space="preserve">programs. </w:t>
      </w:r>
      <w:r w:rsidR="0023543B" w:rsidRPr="0023543B">
        <w:rPr>
          <w:rFonts w:ascii="Times New Roman" w:hAnsi="Times New Roman" w:cs="Times New Roman"/>
          <w:sz w:val="24"/>
          <w:szCs w:val="24"/>
        </w:rPr>
        <w:t>As per the research from Markets Insider, over the past decade, Apple has spent more than $500 billion on stock repurchases</w:t>
      </w:r>
      <w:r w:rsidR="00DB51F2">
        <w:rPr>
          <w:rFonts w:ascii="Times New Roman" w:hAnsi="Times New Roman" w:cs="Times New Roman"/>
          <w:sz w:val="24"/>
          <w:szCs w:val="24"/>
        </w:rPr>
        <w:t xml:space="preserve"> </w:t>
      </w:r>
      <w:r w:rsidR="00DB51F2" w:rsidRPr="00DB51F2">
        <w:rPr>
          <w:rFonts w:ascii="Times New Roman" w:hAnsi="Times New Roman" w:cs="Times New Roman"/>
          <w:sz w:val="24"/>
          <w:szCs w:val="24"/>
        </w:rPr>
        <w:t>(Mohamed, 2022)</w:t>
      </w:r>
      <w:r w:rsidR="0023543B" w:rsidRPr="0023543B">
        <w:rPr>
          <w:rFonts w:ascii="Times New Roman" w:hAnsi="Times New Roman" w:cs="Times New Roman"/>
          <w:sz w:val="24"/>
          <w:szCs w:val="24"/>
        </w:rPr>
        <w:t>. Since 2012, the IT giant has spent more on share repurchases than Visa ($489 billion), JPMorgan ($446 billion), or Exxo</w:t>
      </w:r>
      <w:r w:rsidR="00075B2E">
        <w:rPr>
          <w:rFonts w:ascii="Times New Roman" w:hAnsi="Times New Roman" w:cs="Times New Roman"/>
          <w:sz w:val="24"/>
          <w:szCs w:val="24"/>
        </w:rPr>
        <w:t>n Mobil ($441 billion) combined</w:t>
      </w:r>
      <w:r w:rsidR="0023543B" w:rsidRPr="0023543B">
        <w:rPr>
          <w:rFonts w:ascii="Times New Roman" w:hAnsi="Times New Roman" w:cs="Times New Roman"/>
          <w:sz w:val="24"/>
          <w:szCs w:val="24"/>
        </w:rPr>
        <w:t>. </w:t>
      </w:r>
    </w:p>
    <w:p w:rsidR="00ED4BCA" w:rsidRDefault="00ED4BCA" w:rsidP="00043BF6">
      <w:pPr>
        <w:tabs>
          <w:tab w:val="left" w:pos="2190"/>
        </w:tabs>
        <w:spacing w:line="480" w:lineRule="auto"/>
        <w:ind w:firstLine="720"/>
        <w:rPr>
          <w:rFonts w:ascii="Times New Roman" w:hAnsi="Times New Roman" w:cs="Times New Roman"/>
          <w:b/>
          <w:i/>
          <w:sz w:val="24"/>
          <w:szCs w:val="24"/>
        </w:rPr>
      </w:pPr>
      <w:r w:rsidRPr="00E16B1D">
        <w:rPr>
          <w:rFonts w:ascii="Times New Roman" w:hAnsi="Times New Roman" w:cs="Times New Roman"/>
          <w:b/>
          <w:i/>
          <w:sz w:val="24"/>
          <w:szCs w:val="24"/>
        </w:rPr>
        <w:t>Microsoft Corporation WACC</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E16B1D" w:rsidTr="00514E49">
        <w:trPr>
          <w:trHeight w:val="85"/>
        </w:trPr>
        <w:tc>
          <w:tcPr>
            <w:tcW w:w="1566" w:type="dxa"/>
          </w:tcPr>
          <w:p w:rsidR="00E16B1D" w:rsidRDefault="00E16B1D" w:rsidP="00043BF6">
            <w:pPr>
              <w:tabs>
                <w:tab w:val="left" w:pos="2190"/>
              </w:tabs>
              <w:spacing w:line="480" w:lineRule="auto"/>
              <w:rPr>
                <w:rFonts w:ascii="Times New Roman" w:hAnsi="Times New Roman" w:cs="Times New Roman"/>
                <w:sz w:val="24"/>
                <w:szCs w:val="24"/>
              </w:rPr>
            </w:pPr>
          </w:p>
        </w:tc>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2022</w:t>
            </w:r>
          </w:p>
        </w:tc>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2021</w:t>
            </w:r>
          </w:p>
        </w:tc>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2020</w:t>
            </w:r>
          </w:p>
        </w:tc>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2019</w:t>
            </w:r>
          </w:p>
        </w:tc>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2018</w:t>
            </w:r>
          </w:p>
        </w:tc>
      </w:tr>
      <w:tr w:rsidR="00E16B1D" w:rsidTr="00514E49">
        <w:tc>
          <w:tcPr>
            <w:tcW w:w="1566" w:type="dxa"/>
          </w:tcPr>
          <w:p w:rsidR="00E16B1D" w:rsidRDefault="00E16B1D"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WACC</w:t>
            </w:r>
          </w:p>
        </w:tc>
        <w:tc>
          <w:tcPr>
            <w:tcW w:w="1566" w:type="dxa"/>
          </w:tcPr>
          <w:p w:rsidR="00E16B1D" w:rsidRDefault="000A351A"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9.78</w:t>
            </w:r>
          </w:p>
        </w:tc>
        <w:tc>
          <w:tcPr>
            <w:tcW w:w="1566" w:type="dxa"/>
          </w:tcPr>
          <w:p w:rsidR="00E16B1D" w:rsidRDefault="000A351A"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8.11</w:t>
            </w:r>
          </w:p>
        </w:tc>
        <w:tc>
          <w:tcPr>
            <w:tcW w:w="1566" w:type="dxa"/>
          </w:tcPr>
          <w:p w:rsidR="00E16B1D" w:rsidRDefault="000A351A"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5.95</w:t>
            </w:r>
          </w:p>
        </w:tc>
        <w:tc>
          <w:tcPr>
            <w:tcW w:w="1566" w:type="dxa"/>
          </w:tcPr>
          <w:p w:rsidR="00E16B1D" w:rsidRDefault="000A351A"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5.61</w:t>
            </w:r>
          </w:p>
        </w:tc>
        <w:tc>
          <w:tcPr>
            <w:tcW w:w="1566" w:type="dxa"/>
          </w:tcPr>
          <w:p w:rsidR="00E16B1D" w:rsidRDefault="000A351A" w:rsidP="00043BF6">
            <w:pPr>
              <w:tabs>
                <w:tab w:val="left" w:pos="2190"/>
              </w:tabs>
              <w:spacing w:line="480" w:lineRule="auto"/>
              <w:rPr>
                <w:rFonts w:ascii="Times New Roman" w:hAnsi="Times New Roman" w:cs="Times New Roman"/>
                <w:sz w:val="24"/>
                <w:szCs w:val="24"/>
              </w:rPr>
            </w:pPr>
            <w:r>
              <w:rPr>
                <w:rFonts w:ascii="Times New Roman" w:hAnsi="Times New Roman" w:cs="Times New Roman"/>
                <w:sz w:val="24"/>
                <w:szCs w:val="24"/>
              </w:rPr>
              <w:t>7.61</w:t>
            </w:r>
          </w:p>
        </w:tc>
      </w:tr>
    </w:tbl>
    <w:p w:rsidR="0042262C" w:rsidRPr="00550CDD" w:rsidRDefault="00B31F8E" w:rsidP="00043BF6">
      <w:pPr>
        <w:tabs>
          <w:tab w:val="left" w:pos="2190"/>
        </w:tabs>
        <w:spacing w:line="480" w:lineRule="auto"/>
        <w:rPr>
          <w:rFonts w:ascii="Times New Roman" w:hAnsi="Times New Roman" w:cs="Times New Roman"/>
          <w:i/>
          <w:sz w:val="24"/>
          <w:szCs w:val="24"/>
        </w:rPr>
      </w:pPr>
      <w:r w:rsidRPr="00550CDD">
        <w:rPr>
          <w:rFonts w:ascii="Times New Roman" w:hAnsi="Times New Roman" w:cs="Times New Roman"/>
          <w:i/>
          <w:sz w:val="24"/>
          <w:szCs w:val="24"/>
        </w:rPr>
        <w:t>Table 9: Microsoft’s five year WACC</w:t>
      </w:r>
    </w:p>
    <w:p w:rsidR="0042262C" w:rsidRDefault="0042262C" w:rsidP="00043BF6">
      <w:pPr>
        <w:tabs>
          <w:tab w:val="left" w:pos="2190"/>
        </w:tabs>
        <w:spacing w:line="480" w:lineRule="auto"/>
        <w:ind w:firstLine="720"/>
        <w:rPr>
          <w:rFonts w:ascii="Times New Roman" w:hAnsi="Times New Roman" w:cs="Times New Roman"/>
          <w:sz w:val="24"/>
          <w:szCs w:val="24"/>
        </w:rPr>
      </w:pPr>
      <w:r w:rsidRPr="0042262C">
        <w:rPr>
          <w:rFonts w:ascii="Times New Roman" w:hAnsi="Times New Roman" w:cs="Times New Roman"/>
          <w:sz w:val="24"/>
          <w:szCs w:val="24"/>
        </w:rPr>
        <w:lastRenderedPageBreak/>
        <w:t xml:space="preserve">Over the last five years, Microsoft's WACC </w:t>
      </w:r>
      <w:r w:rsidR="00C50352">
        <w:rPr>
          <w:rFonts w:ascii="Times New Roman" w:hAnsi="Times New Roman" w:cs="Times New Roman"/>
          <w:sz w:val="24"/>
          <w:szCs w:val="24"/>
        </w:rPr>
        <w:t>has steadily and significantly in</w:t>
      </w:r>
      <w:r w:rsidRPr="0042262C">
        <w:rPr>
          <w:rFonts w:ascii="Times New Roman" w:hAnsi="Times New Roman" w:cs="Times New Roman"/>
          <w:sz w:val="24"/>
          <w:szCs w:val="24"/>
        </w:rPr>
        <w:t>creased from 7.61% in 2018 to</w:t>
      </w:r>
      <w:r w:rsidR="00C50352">
        <w:rPr>
          <w:rFonts w:ascii="Times New Roman" w:hAnsi="Times New Roman" w:cs="Times New Roman"/>
          <w:sz w:val="24"/>
          <w:szCs w:val="24"/>
        </w:rPr>
        <w:t xml:space="preserve"> 9.78% in 2022. It's alarming</w:t>
      </w:r>
      <w:r w:rsidRPr="0042262C">
        <w:rPr>
          <w:rFonts w:ascii="Times New Roman" w:hAnsi="Times New Roman" w:cs="Times New Roman"/>
          <w:sz w:val="24"/>
          <w:szCs w:val="24"/>
        </w:rPr>
        <w:t xml:space="preserve"> to observe that the company's cost of capital has</w:t>
      </w:r>
      <w:r w:rsidR="00C50352">
        <w:rPr>
          <w:rFonts w:ascii="Times New Roman" w:hAnsi="Times New Roman" w:cs="Times New Roman"/>
          <w:sz w:val="24"/>
          <w:szCs w:val="24"/>
        </w:rPr>
        <w:t xml:space="preserve"> been rising</w:t>
      </w:r>
      <w:r w:rsidR="00FE44F0">
        <w:rPr>
          <w:rFonts w:ascii="Times New Roman" w:hAnsi="Times New Roman" w:cs="Times New Roman"/>
          <w:sz w:val="24"/>
          <w:szCs w:val="24"/>
        </w:rPr>
        <w:t xml:space="preserve"> in recent years. </w:t>
      </w:r>
      <w:r w:rsidRPr="0042262C">
        <w:rPr>
          <w:rFonts w:ascii="Times New Roman" w:hAnsi="Times New Roman" w:cs="Times New Roman"/>
          <w:sz w:val="24"/>
          <w:szCs w:val="24"/>
        </w:rPr>
        <w:t xml:space="preserve">Microsoft is becoming better at managing its </w:t>
      </w:r>
      <w:r w:rsidR="00C50352">
        <w:rPr>
          <w:rFonts w:ascii="Times New Roman" w:hAnsi="Times New Roman" w:cs="Times New Roman"/>
          <w:sz w:val="24"/>
          <w:szCs w:val="24"/>
        </w:rPr>
        <w:t>finances, as seen by a low</w:t>
      </w:r>
      <w:r w:rsidRPr="0042262C">
        <w:rPr>
          <w:rFonts w:ascii="Times New Roman" w:hAnsi="Times New Roman" w:cs="Times New Roman"/>
          <w:sz w:val="24"/>
          <w:szCs w:val="24"/>
        </w:rPr>
        <w:t xml:space="preserve"> WACC. When a company's cost of capital is low, it has more room to pursue opportunities that </w:t>
      </w:r>
      <w:r w:rsidR="003A6767">
        <w:rPr>
          <w:rFonts w:ascii="Times New Roman" w:hAnsi="Times New Roman" w:cs="Times New Roman"/>
          <w:sz w:val="24"/>
          <w:szCs w:val="24"/>
        </w:rPr>
        <w:t>provide a lower</w:t>
      </w:r>
      <w:r w:rsidR="00FE44F0">
        <w:rPr>
          <w:rFonts w:ascii="Times New Roman" w:hAnsi="Times New Roman" w:cs="Times New Roman"/>
          <w:sz w:val="24"/>
          <w:szCs w:val="24"/>
        </w:rPr>
        <w:t xml:space="preserve"> rate of return. </w:t>
      </w:r>
      <w:r w:rsidRPr="0042262C">
        <w:rPr>
          <w:rFonts w:ascii="Times New Roman" w:hAnsi="Times New Roman" w:cs="Times New Roman"/>
          <w:sz w:val="24"/>
          <w:szCs w:val="24"/>
        </w:rPr>
        <w:t>Microsoft seems to have been decreasing its financial risk as measured by the WACC. Interest costs associated with debt financing may go down if the WACC is lowered. This is indicative of a safer and more secure financial situation.</w:t>
      </w:r>
      <w:r w:rsidR="00C50352">
        <w:rPr>
          <w:rFonts w:ascii="Times New Roman" w:hAnsi="Times New Roman" w:cs="Times New Roman"/>
          <w:sz w:val="24"/>
          <w:szCs w:val="24"/>
        </w:rPr>
        <w:t xml:space="preserve"> </w:t>
      </w:r>
      <w:r w:rsidR="00C50352" w:rsidRPr="00C50352">
        <w:rPr>
          <w:rFonts w:ascii="Times New Roman" w:hAnsi="Times New Roman" w:cs="Times New Roman"/>
          <w:sz w:val="24"/>
          <w:szCs w:val="24"/>
        </w:rPr>
        <w:t>Although it may be hard to imagine, Microsoft's capital structure mix might benefit from the inclusion of lower-cost debt. According to Microsoft's logic, any surplus would be reinvested in cash, which is a terrible idea</w:t>
      </w:r>
      <w:r w:rsidR="001B41C2">
        <w:rPr>
          <w:rFonts w:ascii="Times New Roman" w:hAnsi="Times New Roman" w:cs="Times New Roman"/>
          <w:sz w:val="24"/>
          <w:szCs w:val="24"/>
        </w:rPr>
        <w:t xml:space="preserve"> </w:t>
      </w:r>
      <w:r w:rsidR="001B41C2" w:rsidRPr="001B41C2">
        <w:rPr>
          <w:rFonts w:ascii="Times New Roman" w:hAnsi="Times New Roman" w:cs="Times New Roman"/>
          <w:sz w:val="24"/>
          <w:szCs w:val="24"/>
        </w:rPr>
        <w:t>(Krouse, 2022)</w:t>
      </w:r>
      <w:r w:rsidR="00C50352" w:rsidRPr="00C50352">
        <w:rPr>
          <w:rFonts w:ascii="Times New Roman" w:hAnsi="Times New Roman" w:cs="Times New Roman"/>
          <w:sz w:val="24"/>
          <w:szCs w:val="24"/>
        </w:rPr>
        <w:t>.</w:t>
      </w:r>
    </w:p>
    <w:p w:rsidR="00342EA2" w:rsidRDefault="00342EA2" w:rsidP="00043BF6">
      <w:pPr>
        <w:tabs>
          <w:tab w:val="left" w:pos="2190"/>
        </w:tabs>
        <w:spacing w:line="480" w:lineRule="auto"/>
        <w:ind w:firstLine="720"/>
        <w:rPr>
          <w:rFonts w:ascii="Times New Roman" w:hAnsi="Times New Roman" w:cs="Times New Roman"/>
          <w:sz w:val="24"/>
          <w:szCs w:val="24"/>
        </w:rPr>
      </w:pPr>
    </w:p>
    <w:p w:rsidR="00342EA2" w:rsidRDefault="00342EA2" w:rsidP="00043BF6">
      <w:pPr>
        <w:tabs>
          <w:tab w:val="left" w:pos="2190"/>
        </w:tabs>
        <w:spacing w:line="480" w:lineRule="auto"/>
        <w:ind w:firstLine="720"/>
        <w:rPr>
          <w:rFonts w:ascii="Times New Roman" w:hAnsi="Times New Roman" w:cs="Times New Roman"/>
          <w:sz w:val="24"/>
          <w:szCs w:val="24"/>
        </w:rPr>
      </w:pPr>
    </w:p>
    <w:p w:rsidR="00B540C8" w:rsidRPr="00342EA2" w:rsidRDefault="00B540C8" w:rsidP="00043BF6">
      <w:pPr>
        <w:tabs>
          <w:tab w:val="left" w:pos="2190"/>
        </w:tabs>
        <w:spacing w:line="480" w:lineRule="auto"/>
        <w:ind w:firstLine="720"/>
        <w:rPr>
          <w:rFonts w:ascii="Times New Roman" w:hAnsi="Times New Roman" w:cs="Times New Roman"/>
          <w:b/>
          <w:i/>
          <w:sz w:val="24"/>
          <w:szCs w:val="24"/>
        </w:rPr>
      </w:pPr>
      <w:r w:rsidRPr="00342EA2">
        <w:rPr>
          <w:rFonts w:ascii="Times New Roman" w:hAnsi="Times New Roman" w:cs="Times New Roman"/>
          <w:b/>
          <w:i/>
          <w:sz w:val="24"/>
          <w:szCs w:val="24"/>
        </w:rPr>
        <w:t>Comparison Between the Two companies</w:t>
      </w:r>
      <w:r w:rsidR="002C4A8E" w:rsidRPr="00342EA2">
        <w:rPr>
          <w:rFonts w:ascii="Times New Roman" w:hAnsi="Times New Roman" w:cs="Times New Roman"/>
          <w:b/>
          <w:i/>
          <w:sz w:val="24"/>
          <w:szCs w:val="24"/>
        </w:rPr>
        <w:t xml:space="preserve"> through ROIC</w:t>
      </w:r>
    </w:p>
    <w:p w:rsidR="00342EA2" w:rsidRPr="00342EA2" w:rsidRDefault="00342EA2" w:rsidP="00043BF6">
      <w:pPr>
        <w:tabs>
          <w:tab w:val="left" w:pos="2190"/>
        </w:tabs>
        <w:spacing w:line="480" w:lineRule="auto"/>
        <w:ind w:firstLine="720"/>
        <w:rPr>
          <w:rFonts w:ascii="Times New Roman" w:hAnsi="Times New Roman" w:cs="Times New Roman"/>
          <w:sz w:val="24"/>
          <w:szCs w:val="24"/>
        </w:rPr>
      </w:pPr>
      <w:r w:rsidRPr="00342EA2">
        <w:rPr>
          <w:rFonts w:ascii="Times New Roman" w:hAnsi="Times New Roman" w:cs="Times New Roman"/>
          <w:sz w:val="24"/>
          <w:szCs w:val="24"/>
        </w:rPr>
        <w:t>An investor-friendly return on invested capital (ROIC) is often considered to be 10% or above. Most people who are part of the "$1 trillion club" have much more than that. But compared to other mega-cap companies, Apple stands out as exception</w:t>
      </w:r>
      <w:r w:rsidR="005B17E2">
        <w:rPr>
          <w:rFonts w:ascii="Times New Roman" w:hAnsi="Times New Roman" w:cs="Times New Roman"/>
          <w:sz w:val="24"/>
          <w:szCs w:val="24"/>
        </w:rPr>
        <w:t>al.</w:t>
      </w:r>
    </w:p>
    <w:p w:rsidR="00FA6410" w:rsidRPr="00FA6410" w:rsidRDefault="00342EA2" w:rsidP="00043BF6">
      <w:pPr>
        <w:tabs>
          <w:tab w:val="left" w:pos="2190"/>
        </w:tabs>
        <w:spacing w:line="480" w:lineRule="auto"/>
        <w:ind w:firstLine="720"/>
        <w:rPr>
          <w:rFonts w:ascii="Times New Roman" w:hAnsi="Times New Roman" w:cs="Times New Roman"/>
          <w:sz w:val="24"/>
          <w:szCs w:val="24"/>
        </w:rPr>
      </w:pPr>
      <w:r w:rsidRPr="00342EA2">
        <w:rPr>
          <w:rFonts w:ascii="Times New Roman" w:hAnsi="Times New Roman" w:cs="Times New Roman"/>
          <w:sz w:val="24"/>
          <w:szCs w:val="24"/>
        </w:rPr>
        <w:t>In a nutshell, ROIC evaluates the efficacy of an organization's capital expenditures. Return on invested capital (ROIC) is the amount of profit made from operations after taxes (NOPAT). The following equation is used to get NOPAT from a company's income statement:</w:t>
      </w:r>
    </w:p>
    <w:p w:rsidR="00B540C8" w:rsidRPr="009A355C" w:rsidRDefault="005B17E2" w:rsidP="00043BF6">
      <w:pPr>
        <w:tabs>
          <w:tab w:val="left" w:pos="2190"/>
        </w:tabs>
        <w:spacing w:line="480" w:lineRule="auto"/>
        <w:ind w:firstLine="720"/>
        <w:rPr>
          <w:rStyle w:val="Emphasis"/>
          <w:rFonts w:ascii="Times New Roman" w:hAnsi="Times New Roman" w:cs="Times New Roman"/>
          <w:i w:val="0"/>
          <w:color w:val="08062A"/>
          <w:sz w:val="24"/>
          <w:szCs w:val="24"/>
          <w:bdr w:val="none" w:sz="0" w:space="0" w:color="auto" w:frame="1"/>
          <w:shd w:val="clear" w:color="auto" w:fill="FFFFFF"/>
        </w:rPr>
      </w:pPr>
      <w:r w:rsidRPr="009A355C">
        <w:rPr>
          <w:rStyle w:val="Emphasis"/>
          <w:rFonts w:ascii="Times New Roman" w:hAnsi="Times New Roman" w:cs="Times New Roman"/>
          <w:i w:val="0"/>
          <w:color w:val="08062A"/>
          <w:sz w:val="24"/>
          <w:szCs w:val="24"/>
          <w:bdr w:val="none" w:sz="0" w:space="0" w:color="auto" w:frame="1"/>
          <w:shd w:val="clear" w:color="auto" w:fill="FFFFFF"/>
        </w:rPr>
        <w:t>NOPAT = earnings before interest and taxes (EBIT) * (1-the company's tax rate)</w:t>
      </w:r>
    </w:p>
    <w:p w:rsidR="00951B44" w:rsidRDefault="00951B44"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sidRPr="009A355C">
        <w:rPr>
          <w:rStyle w:val="Emphasis"/>
          <w:rFonts w:ascii="Times New Roman" w:hAnsi="Times New Roman" w:cs="Times New Roman"/>
          <w:i w:val="0"/>
          <w:color w:val="08062A"/>
          <w:sz w:val="24"/>
          <w:szCs w:val="24"/>
          <w:bdr w:val="none" w:sz="0" w:space="0" w:color="auto" w:frame="1"/>
          <w:shd w:val="clear" w:color="auto" w:fill="FFFFFF"/>
        </w:rPr>
        <w:t xml:space="preserve">Since, apple provided a bigger margin of ROIC compared to its WACC in 2022, then it can be </w:t>
      </w:r>
      <w:r w:rsidR="009A355C" w:rsidRPr="009A355C">
        <w:rPr>
          <w:rStyle w:val="Emphasis"/>
          <w:rFonts w:ascii="Times New Roman" w:hAnsi="Times New Roman" w:cs="Times New Roman"/>
          <w:i w:val="0"/>
          <w:color w:val="08062A"/>
          <w:sz w:val="24"/>
          <w:szCs w:val="24"/>
          <w:bdr w:val="none" w:sz="0" w:space="0" w:color="auto" w:frame="1"/>
          <w:shd w:val="clear" w:color="auto" w:fill="FFFFFF"/>
        </w:rPr>
        <w:t>concluded</w:t>
      </w:r>
      <w:r w:rsidRPr="009A355C">
        <w:rPr>
          <w:rStyle w:val="Emphasis"/>
          <w:rFonts w:ascii="Times New Roman" w:hAnsi="Times New Roman" w:cs="Times New Roman"/>
          <w:i w:val="0"/>
          <w:color w:val="08062A"/>
          <w:sz w:val="24"/>
          <w:szCs w:val="24"/>
          <w:bdr w:val="none" w:sz="0" w:space="0" w:color="auto" w:frame="1"/>
          <w:shd w:val="clear" w:color="auto" w:fill="FFFFFF"/>
        </w:rPr>
        <w:t xml:space="preserve"> that apple c</w:t>
      </w:r>
      <w:r w:rsidR="009A355C">
        <w:rPr>
          <w:rStyle w:val="Emphasis"/>
          <w:rFonts w:ascii="Times New Roman" w:hAnsi="Times New Roman" w:cs="Times New Roman"/>
          <w:i w:val="0"/>
          <w:color w:val="08062A"/>
          <w:sz w:val="24"/>
          <w:szCs w:val="24"/>
          <w:bdr w:val="none" w:sz="0" w:space="0" w:color="auto" w:frame="1"/>
          <w:shd w:val="clear" w:color="auto" w:fill="FFFFFF"/>
        </w:rPr>
        <w:t>reated more value for its share</w:t>
      </w:r>
      <w:r w:rsidRPr="009A355C">
        <w:rPr>
          <w:rStyle w:val="Emphasis"/>
          <w:rFonts w:ascii="Times New Roman" w:hAnsi="Times New Roman" w:cs="Times New Roman"/>
          <w:i w:val="0"/>
          <w:color w:val="08062A"/>
          <w:sz w:val="24"/>
          <w:szCs w:val="24"/>
          <w:bdr w:val="none" w:sz="0" w:space="0" w:color="auto" w:frame="1"/>
          <w:shd w:val="clear" w:color="auto" w:fill="FFFFFF"/>
        </w:rPr>
        <w:t xml:space="preserve">holders.  </w:t>
      </w:r>
    </w:p>
    <w:tbl>
      <w:tblPr>
        <w:tblStyle w:val="TableGrid"/>
        <w:tblW w:w="0" w:type="auto"/>
        <w:tblLook w:val="04A0" w:firstRow="1" w:lastRow="0" w:firstColumn="1" w:lastColumn="0" w:noHBand="0" w:noVBand="1"/>
      </w:tblPr>
      <w:tblGrid>
        <w:gridCol w:w="2349"/>
        <w:gridCol w:w="2349"/>
        <w:gridCol w:w="2349"/>
      </w:tblGrid>
      <w:tr w:rsidR="007C0BB2" w:rsidTr="007C0BB2">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lastRenderedPageBreak/>
              <w:t>Apple Inc.</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Microsoft Corp.</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p>
        </w:tc>
      </w:tr>
      <w:tr w:rsidR="007C0BB2" w:rsidTr="007C0BB2">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69.9%</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34.3%</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ROIC</w:t>
            </w:r>
          </w:p>
        </w:tc>
      </w:tr>
      <w:tr w:rsidR="007C0BB2" w:rsidTr="007C0BB2">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11.8%</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9.78%</w:t>
            </w:r>
          </w:p>
        </w:tc>
        <w:tc>
          <w:tcPr>
            <w:tcW w:w="2349" w:type="dxa"/>
          </w:tcPr>
          <w:p w:rsidR="007C0BB2" w:rsidRDefault="007C0BB2"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WACC</w:t>
            </w:r>
          </w:p>
        </w:tc>
      </w:tr>
    </w:tbl>
    <w:p w:rsidR="007C0BB2" w:rsidRDefault="00935D56" w:rsidP="00043BF6">
      <w:pPr>
        <w:tabs>
          <w:tab w:val="left" w:pos="2190"/>
        </w:tabs>
        <w:spacing w:line="480" w:lineRule="auto"/>
        <w:rPr>
          <w:rStyle w:val="Emphasis"/>
          <w:rFonts w:ascii="Times New Roman" w:hAnsi="Times New Roman" w:cs="Times New Roman"/>
          <w:i w:val="0"/>
          <w:color w:val="08062A"/>
          <w:sz w:val="24"/>
          <w:szCs w:val="24"/>
          <w:bdr w:val="none" w:sz="0" w:space="0" w:color="auto" w:frame="1"/>
          <w:shd w:val="clear" w:color="auto" w:fill="FFFFFF"/>
        </w:rPr>
      </w:pPr>
      <w:r>
        <w:rPr>
          <w:rStyle w:val="Emphasis"/>
          <w:rFonts w:ascii="Times New Roman" w:hAnsi="Times New Roman" w:cs="Times New Roman"/>
          <w:i w:val="0"/>
          <w:color w:val="08062A"/>
          <w:sz w:val="24"/>
          <w:szCs w:val="24"/>
          <w:bdr w:val="none" w:sz="0" w:space="0" w:color="auto" w:frame="1"/>
          <w:shd w:val="clear" w:color="auto" w:fill="FFFFFF"/>
        </w:rPr>
        <w:t>Table 10: Microsoft Corp vs Apple Inc.</w:t>
      </w:r>
      <w:r w:rsidR="00EE646E">
        <w:rPr>
          <w:rStyle w:val="Emphasis"/>
          <w:rFonts w:ascii="Times New Roman" w:hAnsi="Times New Roman" w:cs="Times New Roman"/>
          <w:i w:val="0"/>
          <w:color w:val="08062A"/>
          <w:sz w:val="24"/>
          <w:szCs w:val="24"/>
          <w:bdr w:val="none" w:sz="0" w:space="0" w:color="auto" w:frame="1"/>
          <w:shd w:val="clear" w:color="auto" w:fill="FFFFFF"/>
        </w:rPr>
        <w:t xml:space="preserve"> </w:t>
      </w:r>
      <w:r>
        <w:rPr>
          <w:rStyle w:val="Emphasis"/>
          <w:rFonts w:ascii="Times New Roman" w:hAnsi="Times New Roman" w:cs="Times New Roman"/>
          <w:i w:val="0"/>
          <w:color w:val="08062A"/>
          <w:sz w:val="24"/>
          <w:szCs w:val="24"/>
          <w:bdr w:val="none" w:sz="0" w:space="0" w:color="auto" w:frame="1"/>
          <w:shd w:val="clear" w:color="auto" w:fill="FFFFFF"/>
        </w:rPr>
        <w:t>ROIC and WACC overview</w:t>
      </w:r>
    </w:p>
    <w:p w:rsidR="007C0BB2" w:rsidRPr="007C0BB2" w:rsidRDefault="007C0BB2" w:rsidP="00043BF6">
      <w:pPr>
        <w:tabs>
          <w:tab w:val="left" w:pos="180"/>
          <w:tab w:val="left" w:pos="720"/>
        </w:tabs>
        <w:spacing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Pr="007C0BB2">
        <w:rPr>
          <w:rFonts w:ascii="Times New Roman" w:hAnsi="Times New Roman" w:cs="Times New Roman"/>
          <w:sz w:val="24"/>
          <w:szCs w:val="24"/>
        </w:rPr>
        <w:t>Apple's strong return on invested capital (ROIC) makes it a better investment option for discerning traders. It's no secret that Apple is Berkshire Hathaway's most valuable investment. Former Berkshire chairman and CEO Warren Buffett previously said that in his opinion, a successful company has "a substantial return on investment for an extended amount of time, during which we think</w:t>
      </w:r>
      <w:r w:rsidR="009D40A1">
        <w:rPr>
          <w:rFonts w:ascii="Times New Roman" w:hAnsi="Times New Roman" w:cs="Times New Roman"/>
          <w:sz w:val="24"/>
          <w:szCs w:val="24"/>
        </w:rPr>
        <w:t xml:space="preserve"> management will treat us right</w:t>
      </w:r>
      <w:r w:rsidRPr="007C0BB2">
        <w:rPr>
          <w:rFonts w:ascii="Times New Roman" w:hAnsi="Times New Roman" w:cs="Times New Roman"/>
          <w:sz w:val="24"/>
          <w:szCs w:val="24"/>
        </w:rPr>
        <w:t>"</w:t>
      </w:r>
      <w:r w:rsidR="009D40A1">
        <w:rPr>
          <w:rFonts w:ascii="Times New Roman" w:hAnsi="Times New Roman" w:cs="Times New Roman"/>
          <w:sz w:val="24"/>
          <w:szCs w:val="24"/>
        </w:rPr>
        <w:t xml:space="preserve"> </w:t>
      </w:r>
      <w:r w:rsidR="009D40A1" w:rsidRPr="009D40A1">
        <w:rPr>
          <w:rFonts w:ascii="Times New Roman" w:hAnsi="Times New Roman" w:cs="Times New Roman"/>
          <w:sz w:val="24"/>
          <w:szCs w:val="24"/>
        </w:rPr>
        <w:t>(Speights, 2023)</w:t>
      </w:r>
      <w:r w:rsidR="009D40A1">
        <w:rPr>
          <w:rFonts w:ascii="Times New Roman" w:hAnsi="Times New Roman" w:cs="Times New Roman"/>
          <w:sz w:val="24"/>
          <w:szCs w:val="24"/>
        </w:rPr>
        <w:t>.</w:t>
      </w:r>
    </w:p>
    <w:p w:rsidR="007C0BB2" w:rsidRPr="007C0BB2" w:rsidRDefault="007C0BB2" w:rsidP="00043BF6">
      <w:pPr>
        <w:tabs>
          <w:tab w:val="left" w:pos="270"/>
        </w:tabs>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C0BB2">
        <w:rPr>
          <w:rFonts w:ascii="Times New Roman" w:hAnsi="Times New Roman" w:cs="Times New Roman"/>
          <w:sz w:val="24"/>
          <w:szCs w:val="24"/>
        </w:rPr>
        <w:t>The phrase "for a long period of time" that Buffett used reminds us of an additional important consideration. Apple's current ROIC dominance isn't a fluke, especially when compared to that of Amazon, Google, Microsoft, and Nvidia. Since the iPhone's debut in 2007, the company's return on invested capital has been continuously excellent</w:t>
      </w:r>
      <w:r w:rsidR="004371DB">
        <w:rPr>
          <w:rFonts w:ascii="Times New Roman" w:hAnsi="Times New Roman" w:cs="Times New Roman"/>
          <w:sz w:val="24"/>
          <w:szCs w:val="24"/>
        </w:rPr>
        <w:t xml:space="preserve"> </w:t>
      </w:r>
      <w:r w:rsidR="004371DB" w:rsidRPr="004371DB">
        <w:rPr>
          <w:rFonts w:ascii="Times New Roman" w:hAnsi="Times New Roman" w:cs="Times New Roman"/>
          <w:sz w:val="24"/>
          <w:szCs w:val="24"/>
        </w:rPr>
        <w:t>(Speights, 2023)</w:t>
      </w:r>
      <w:r w:rsidRPr="007C0BB2">
        <w:rPr>
          <w:rFonts w:ascii="Times New Roman" w:hAnsi="Times New Roman" w:cs="Times New Roman"/>
          <w:sz w:val="24"/>
          <w:szCs w:val="24"/>
        </w:rPr>
        <w:t xml:space="preserve">. Additionally, during the previous decade, its return on invested capital (ROIC) has been higher than that of the other </w:t>
      </w:r>
      <w:r w:rsidRPr="007C0BB2">
        <w:rPr>
          <w:rFonts w:ascii="Times New Roman" w:hAnsi="Times New Roman" w:cs="Times New Roman"/>
          <w:sz w:val="24"/>
          <w:szCs w:val="24"/>
        </w:rPr>
        <w:t>companies of</w:t>
      </w:r>
      <w:r w:rsidRPr="007C0BB2">
        <w:rPr>
          <w:rFonts w:ascii="Times New Roman" w:hAnsi="Times New Roman" w:cs="Times New Roman"/>
          <w:sz w:val="24"/>
          <w:szCs w:val="24"/>
        </w:rPr>
        <w:t xml:space="preserve"> the $1 trillion club.</w:t>
      </w:r>
    </w:p>
    <w:p w:rsidR="009B40CF" w:rsidRPr="00393309" w:rsidRDefault="00EF719C" w:rsidP="00043BF6">
      <w:pPr>
        <w:tabs>
          <w:tab w:val="left" w:pos="2190"/>
        </w:tabs>
        <w:spacing w:line="480" w:lineRule="auto"/>
        <w:rPr>
          <w:rFonts w:ascii="Times New Roman" w:hAnsi="Times New Roman" w:cs="Times New Roman"/>
          <w:b/>
          <w:sz w:val="24"/>
          <w:szCs w:val="24"/>
        </w:rPr>
      </w:pPr>
      <w:r w:rsidRPr="00393309">
        <w:rPr>
          <w:rFonts w:ascii="Times New Roman" w:hAnsi="Times New Roman" w:cs="Times New Roman"/>
          <w:b/>
          <w:sz w:val="24"/>
          <w:szCs w:val="24"/>
        </w:rPr>
        <w:t>Abnormal Earnings Valuation</w:t>
      </w:r>
    </w:p>
    <w:p w:rsidR="00DE604A" w:rsidRPr="006725BE" w:rsidRDefault="00393309" w:rsidP="00043BF6">
      <w:pPr>
        <w:tabs>
          <w:tab w:val="left" w:pos="2190"/>
        </w:tabs>
        <w:spacing w:line="480" w:lineRule="auto"/>
        <w:ind w:firstLine="720"/>
        <w:rPr>
          <w:rFonts w:ascii="Times New Roman" w:hAnsi="Times New Roman" w:cs="Times New Roman"/>
          <w:b/>
          <w:i/>
          <w:sz w:val="24"/>
          <w:szCs w:val="24"/>
        </w:rPr>
      </w:pPr>
      <w:r w:rsidRPr="006725BE">
        <w:rPr>
          <w:rFonts w:ascii="Times New Roman" w:hAnsi="Times New Roman" w:cs="Times New Roman"/>
          <w:b/>
          <w:i/>
          <w:sz w:val="24"/>
          <w:szCs w:val="24"/>
        </w:rPr>
        <w:t xml:space="preserve">Apple Inc. </w:t>
      </w:r>
    </w:p>
    <w:tbl>
      <w:tblPr>
        <w:tblStyle w:val="TableGrid"/>
        <w:tblW w:w="0" w:type="auto"/>
        <w:tblLook w:val="04A0" w:firstRow="1" w:lastRow="0" w:firstColumn="1" w:lastColumn="0" w:noHBand="0" w:noVBand="1"/>
      </w:tblPr>
      <w:tblGrid>
        <w:gridCol w:w="1891"/>
        <w:gridCol w:w="1411"/>
        <w:gridCol w:w="1561"/>
        <w:gridCol w:w="1561"/>
        <w:gridCol w:w="1561"/>
        <w:gridCol w:w="1411"/>
      </w:tblGrid>
      <w:tr w:rsidR="00027073" w:rsidRPr="00027073" w:rsidTr="00514E49">
        <w:trPr>
          <w:trHeight w:val="300"/>
        </w:trPr>
        <w:tc>
          <w:tcPr>
            <w:tcW w:w="1835"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Data Items in Millions</w:t>
            </w:r>
          </w:p>
        </w:tc>
        <w:tc>
          <w:tcPr>
            <w:tcW w:w="1641"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2022</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2021</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2020</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2019</w:t>
            </w:r>
          </w:p>
        </w:tc>
        <w:tc>
          <w:tcPr>
            <w:tcW w:w="1372"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2018</w:t>
            </w:r>
          </w:p>
        </w:tc>
      </w:tr>
      <w:tr w:rsidR="00027073" w:rsidRPr="00027073" w:rsidTr="00514E49">
        <w:trPr>
          <w:trHeight w:val="315"/>
        </w:trPr>
        <w:tc>
          <w:tcPr>
            <w:tcW w:w="1835"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NOPAT</w:t>
            </w:r>
          </w:p>
        </w:tc>
        <w:tc>
          <w:tcPr>
            <w:tcW w:w="1641"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99803</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94680</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57411</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55256</w:t>
            </w:r>
          </w:p>
        </w:tc>
        <w:tc>
          <w:tcPr>
            <w:tcW w:w="1372"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59531</w:t>
            </w:r>
          </w:p>
        </w:tc>
      </w:tr>
      <w:tr w:rsidR="00027073" w:rsidRPr="00027073" w:rsidTr="00514E49">
        <w:trPr>
          <w:trHeight w:val="330"/>
        </w:trPr>
        <w:tc>
          <w:tcPr>
            <w:tcW w:w="1835"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lastRenderedPageBreak/>
              <w:t>WACC</w:t>
            </w:r>
          </w:p>
        </w:tc>
        <w:tc>
          <w:tcPr>
            <w:tcW w:w="1641" w:type="dxa"/>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11.18</w:t>
            </w:r>
          </w:p>
        </w:tc>
        <w:tc>
          <w:tcPr>
            <w:tcW w:w="1516" w:type="dxa"/>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8.85</w:t>
            </w:r>
          </w:p>
        </w:tc>
        <w:tc>
          <w:tcPr>
            <w:tcW w:w="1516" w:type="dxa"/>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8.06</w:t>
            </w:r>
          </w:p>
        </w:tc>
        <w:tc>
          <w:tcPr>
            <w:tcW w:w="1516" w:type="dxa"/>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7.69</w:t>
            </w:r>
          </w:p>
        </w:tc>
        <w:tc>
          <w:tcPr>
            <w:tcW w:w="1372" w:type="dxa"/>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9.88</w:t>
            </w:r>
          </w:p>
        </w:tc>
      </w:tr>
      <w:tr w:rsidR="00027073" w:rsidRPr="00027073" w:rsidTr="00514E49">
        <w:trPr>
          <w:trHeight w:val="300"/>
        </w:trPr>
        <w:tc>
          <w:tcPr>
            <w:tcW w:w="1835"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Shareholder's Equity</w:t>
            </w:r>
          </w:p>
        </w:tc>
        <w:tc>
          <w:tcPr>
            <w:tcW w:w="1641"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50672</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63090</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65339</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90488</w:t>
            </w:r>
          </w:p>
        </w:tc>
        <w:tc>
          <w:tcPr>
            <w:tcW w:w="1372"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107147</w:t>
            </w:r>
          </w:p>
        </w:tc>
      </w:tr>
      <w:tr w:rsidR="00027073" w:rsidRPr="00027073" w:rsidTr="00514E49">
        <w:trPr>
          <w:trHeight w:val="300"/>
        </w:trPr>
        <w:tc>
          <w:tcPr>
            <w:tcW w:w="1835"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Interest</w:t>
            </w:r>
          </w:p>
        </w:tc>
        <w:tc>
          <w:tcPr>
            <w:tcW w:w="1641"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9543</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8750</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12692</w:t>
            </w:r>
          </w:p>
        </w:tc>
        <w:tc>
          <w:tcPr>
            <w:tcW w:w="1516"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8805</w:t>
            </w:r>
          </w:p>
        </w:tc>
        <w:tc>
          <w:tcPr>
            <w:tcW w:w="1372" w:type="dxa"/>
            <w:noWrap/>
            <w:hideMark/>
          </w:tcPr>
          <w:p w:rsidR="00027073" w:rsidRPr="00027073" w:rsidRDefault="00027073"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6500</w:t>
            </w:r>
          </w:p>
        </w:tc>
      </w:tr>
      <w:tr w:rsidR="00514E49" w:rsidRPr="00027073" w:rsidTr="00514E49">
        <w:trPr>
          <w:trHeight w:val="330"/>
        </w:trPr>
        <w:tc>
          <w:tcPr>
            <w:tcW w:w="1835" w:type="dxa"/>
            <w:noWrap/>
            <w:vAlign w:val="center"/>
            <w:hideMark/>
          </w:tcPr>
          <w:p w:rsidR="00514E49" w:rsidRPr="003A1E53" w:rsidRDefault="00514E49" w:rsidP="00043BF6">
            <w:pPr>
              <w:spacing w:line="480" w:lineRule="auto"/>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Debt</w:t>
            </w:r>
          </w:p>
        </w:tc>
        <w:tc>
          <w:tcPr>
            <w:tcW w:w="1641" w:type="dxa"/>
            <w:vAlign w:val="center"/>
            <w:hideMark/>
          </w:tcPr>
          <w:p w:rsidR="00514E49" w:rsidRPr="003A1E53" w:rsidRDefault="00514E49" w:rsidP="00043BF6">
            <w:pPr>
              <w:spacing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47032</w:t>
            </w:r>
          </w:p>
        </w:tc>
        <w:tc>
          <w:tcPr>
            <w:tcW w:w="1516" w:type="dxa"/>
            <w:vAlign w:val="center"/>
            <w:hideMark/>
          </w:tcPr>
          <w:p w:rsidR="00514E49" w:rsidRPr="003A1E53" w:rsidRDefault="00514E49" w:rsidP="00043BF6">
            <w:pPr>
              <w:spacing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50074</w:t>
            </w:r>
          </w:p>
        </w:tc>
        <w:tc>
          <w:tcPr>
            <w:tcW w:w="1516" w:type="dxa"/>
            <w:vAlign w:val="center"/>
            <w:hideMark/>
          </w:tcPr>
          <w:p w:rsidR="00514E49" w:rsidRPr="003A1E53" w:rsidRDefault="00514E49" w:rsidP="00043BF6">
            <w:pPr>
              <w:spacing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59578</w:t>
            </w:r>
          </w:p>
        </w:tc>
        <w:tc>
          <w:tcPr>
            <w:tcW w:w="1516" w:type="dxa"/>
            <w:vAlign w:val="center"/>
            <w:hideMark/>
          </w:tcPr>
          <w:p w:rsidR="00514E49" w:rsidRPr="003A1E53" w:rsidRDefault="00514E49" w:rsidP="00043BF6">
            <w:pPr>
              <w:spacing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6662</w:t>
            </w:r>
          </w:p>
        </w:tc>
        <w:tc>
          <w:tcPr>
            <w:tcW w:w="1372" w:type="dxa"/>
            <w:vAlign w:val="center"/>
            <w:hideMark/>
          </w:tcPr>
          <w:p w:rsidR="00514E49" w:rsidRPr="003A1E53" w:rsidRDefault="00514E49" w:rsidP="00043BF6">
            <w:pPr>
              <w:spacing w:line="480" w:lineRule="auto"/>
              <w:jc w:val="right"/>
              <w:rPr>
                <w:rFonts w:ascii="Times New Roman" w:eastAsia="Times New Roman" w:hAnsi="Times New Roman" w:cs="Times New Roman"/>
                <w:color w:val="000000"/>
                <w:sz w:val="24"/>
                <w:szCs w:val="24"/>
              </w:rPr>
            </w:pPr>
            <w:r w:rsidRPr="003A1E53">
              <w:rPr>
                <w:rFonts w:ascii="Times New Roman" w:eastAsia="Times New Roman" w:hAnsi="Times New Roman" w:cs="Times New Roman"/>
                <w:color w:val="000000"/>
                <w:sz w:val="24"/>
                <w:szCs w:val="24"/>
              </w:rPr>
              <w:t>72242</w:t>
            </w:r>
          </w:p>
        </w:tc>
      </w:tr>
      <w:tr w:rsidR="00514E49" w:rsidRPr="00027073" w:rsidTr="00514E49">
        <w:trPr>
          <w:trHeight w:val="300"/>
        </w:trPr>
        <w:tc>
          <w:tcPr>
            <w:tcW w:w="1835"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AEV</w:t>
            </w:r>
          </w:p>
        </w:tc>
        <w:tc>
          <w:tcPr>
            <w:tcW w:w="1641"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657372</w:t>
            </w:r>
          </w:p>
        </w:tc>
        <w:tc>
          <w:tcPr>
            <w:tcW w:w="1516"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509559.2</w:t>
            </w:r>
          </w:p>
        </w:tc>
        <w:tc>
          <w:tcPr>
            <w:tcW w:w="1516"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294447.5</w:t>
            </w:r>
          </w:p>
        </w:tc>
        <w:tc>
          <w:tcPr>
            <w:tcW w:w="1516"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76588.06</w:t>
            </w:r>
          </w:p>
        </w:tc>
        <w:tc>
          <w:tcPr>
            <w:tcW w:w="1372" w:type="dxa"/>
            <w:noWrap/>
            <w:hideMark/>
          </w:tcPr>
          <w:p w:rsidR="00514E49" w:rsidRPr="00027073" w:rsidRDefault="00514E49" w:rsidP="00043BF6">
            <w:pPr>
              <w:tabs>
                <w:tab w:val="left" w:pos="2190"/>
              </w:tabs>
              <w:spacing w:line="480" w:lineRule="auto"/>
              <w:ind w:firstLine="720"/>
              <w:rPr>
                <w:rFonts w:ascii="Times New Roman" w:hAnsi="Times New Roman" w:cs="Times New Roman"/>
                <w:sz w:val="24"/>
                <w:szCs w:val="24"/>
              </w:rPr>
            </w:pPr>
            <w:r w:rsidRPr="00027073">
              <w:rPr>
                <w:rFonts w:ascii="Times New Roman" w:hAnsi="Times New Roman" w:cs="Times New Roman"/>
                <w:sz w:val="24"/>
                <w:szCs w:val="24"/>
              </w:rPr>
              <w:t>-50413.6</w:t>
            </w:r>
          </w:p>
        </w:tc>
      </w:tr>
    </w:tbl>
    <w:p w:rsidR="00DE604A" w:rsidRPr="00191D66" w:rsidRDefault="00191D66" w:rsidP="00043BF6">
      <w:pPr>
        <w:tabs>
          <w:tab w:val="left" w:pos="2190"/>
        </w:tabs>
        <w:spacing w:line="480" w:lineRule="auto"/>
        <w:rPr>
          <w:rFonts w:ascii="Times New Roman" w:hAnsi="Times New Roman" w:cs="Times New Roman"/>
          <w:i/>
          <w:sz w:val="24"/>
          <w:szCs w:val="24"/>
        </w:rPr>
      </w:pPr>
      <w:r>
        <w:rPr>
          <w:rFonts w:ascii="Times New Roman" w:hAnsi="Times New Roman" w:cs="Times New Roman"/>
          <w:i/>
          <w:sz w:val="24"/>
          <w:szCs w:val="24"/>
        </w:rPr>
        <w:t>Table 11: Apple Inc. Abnormal Earning’s Valuation</w:t>
      </w:r>
    </w:p>
    <w:p w:rsidR="00027073" w:rsidRDefault="009127B6" w:rsidP="00043BF6">
      <w:pPr>
        <w:tabs>
          <w:tab w:val="left" w:pos="2190"/>
        </w:tabs>
        <w:spacing w:line="480" w:lineRule="auto"/>
        <w:ind w:firstLine="720"/>
        <w:rPr>
          <w:rFonts w:ascii="Times New Roman" w:hAnsi="Times New Roman" w:cs="Times New Roman"/>
          <w:sz w:val="24"/>
          <w:szCs w:val="24"/>
        </w:rPr>
      </w:pPr>
      <w:r w:rsidRPr="009127B6">
        <w:rPr>
          <w:rFonts w:ascii="Times New Roman" w:hAnsi="Times New Roman" w:cs="Times New Roman"/>
          <w:sz w:val="24"/>
          <w:szCs w:val="24"/>
        </w:rPr>
        <w:t>The AEV of apple Inc. beginning from year 2020 to 2022 indicating that the company's profits were higher than its cost of capital. This is a positive indicator, as it shows that the firm was successful in creating wealth for its owners above and above what they might have achieved with simila</w:t>
      </w:r>
      <w:r>
        <w:rPr>
          <w:rFonts w:ascii="Times New Roman" w:hAnsi="Times New Roman" w:cs="Times New Roman"/>
          <w:sz w:val="24"/>
          <w:szCs w:val="24"/>
        </w:rPr>
        <w:t>rly risky investments elsewhere. Therefore, Apple Inc. was making the right investments hence the increasing profitabili</w:t>
      </w:r>
      <w:r w:rsidR="002C668D">
        <w:rPr>
          <w:rFonts w:ascii="Times New Roman" w:hAnsi="Times New Roman" w:cs="Times New Roman"/>
          <w:sz w:val="24"/>
          <w:szCs w:val="24"/>
        </w:rPr>
        <w:t>ty of the company over the five-</w:t>
      </w:r>
      <w:r>
        <w:rPr>
          <w:rFonts w:ascii="Times New Roman" w:hAnsi="Times New Roman" w:cs="Times New Roman"/>
          <w:sz w:val="24"/>
          <w:szCs w:val="24"/>
        </w:rPr>
        <w:t xml:space="preserve">year period. </w:t>
      </w:r>
    </w:p>
    <w:p w:rsidR="00024E74" w:rsidRPr="003F363C" w:rsidRDefault="00771700" w:rsidP="00043BF6">
      <w:pPr>
        <w:tabs>
          <w:tab w:val="left" w:pos="2190"/>
        </w:tabs>
        <w:spacing w:line="480" w:lineRule="auto"/>
        <w:ind w:firstLine="720"/>
        <w:rPr>
          <w:rFonts w:ascii="Times New Roman" w:hAnsi="Times New Roman" w:cs="Times New Roman"/>
          <w:b/>
          <w:i/>
          <w:sz w:val="24"/>
          <w:szCs w:val="24"/>
        </w:rPr>
      </w:pPr>
      <w:r w:rsidRPr="007070E2">
        <w:rPr>
          <w:rFonts w:ascii="Times New Roman" w:hAnsi="Times New Roman" w:cs="Times New Roman"/>
          <w:b/>
          <w:i/>
          <w:sz w:val="24"/>
          <w:szCs w:val="24"/>
        </w:rPr>
        <w:t xml:space="preserve">Microsoft Corporation </w:t>
      </w:r>
    </w:p>
    <w:p w:rsidR="00024E74" w:rsidRPr="00024E74" w:rsidRDefault="00024E74" w:rsidP="00043BF6">
      <w:pPr>
        <w:tabs>
          <w:tab w:val="left" w:pos="2190"/>
        </w:tabs>
        <w:spacing w:line="480" w:lineRule="auto"/>
        <w:ind w:firstLine="720"/>
        <w:rPr>
          <w:rFonts w:ascii="Times New Roman" w:hAnsi="Times New Roman" w:cs="Times New Roman"/>
          <w:sz w:val="24"/>
          <w:szCs w:val="24"/>
        </w:rPr>
      </w:pPr>
      <w:r w:rsidRPr="00024E74">
        <w:rPr>
          <w:rFonts w:ascii="Times New Roman" w:hAnsi="Times New Roman" w:cs="Times New Roman"/>
          <w:sz w:val="24"/>
          <w:szCs w:val="24"/>
        </w:rPr>
        <w:t>Significant shifts have been seen in the Abnormal Earnings Valuation (AEV) of Microsoft corporation. Microsoft's AEV went up in 2020 and beyond, turning around from negative readings in 2018 and 2019. These swings indicate that Microsoft's profits have recently been higher than the cost of capital, resulting in the creat</w:t>
      </w:r>
      <w:r w:rsidR="00BF6776">
        <w:rPr>
          <w:rFonts w:ascii="Times New Roman" w:hAnsi="Times New Roman" w:cs="Times New Roman"/>
          <w:sz w:val="24"/>
          <w:szCs w:val="24"/>
        </w:rPr>
        <w:t>ion of wealth for shareholders.</w:t>
      </w:r>
    </w:p>
    <w:p w:rsidR="00024E74" w:rsidRPr="00024E74" w:rsidRDefault="00024E74" w:rsidP="00043BF6">
      <w:pPr>
        <w:tabs>
          <w:tab w:val="left" w:pos="2190"/>
        </w:tabs>
        <w:spacing w:line="480" w:lineRule="auto"/>
        <w:ind w:firstLine="720"/>
        <w:rPr>
          <w:rFonts w:ascii="Times New Roman" w:hAnsi="Times New Roman" w:cs="Times New Roman"/>
          <w:sz w:val="24"/>
          <w:szCs w:val="24"/>
        </w:rPr>
      </w:pPr>
      <w:r w:rsidRPr="00024E74">
        <w:rPr>
          <w:rFonts w:ascii="Times New Roman" w:hAnsi="Times New Roman" w:cs="Times New Roman"/>
          <w:sz w:val="24"/>
          <w:szCs w:val="24"/>
        </w:rPr>
        <w:t>With a lower WACC, Microsoft may take advantage of more lucrative investment possibilities. With a lower necessary rate of return, the organization has more room to maneuver in terms of project selection and, ultimately, value development.</w:t>
      </w:r>
    </w:p>
    <w:tbl>
      <w:tblPr>
        <w:tblStyle w:val="TableGrid"/>
        <w:tblW w:w="0" w:type="auto"/>
        <w:tblLook w:val="04A0" w:firstRow="1" w:lastRow="0" w:firstColumn="1" w:lastColumn="0" w:noHBand="0" w:noVBand="1"/>
      </w:tblPr>
      <w:tblGrid>
        <w:gridCol w:w="2040"/>
        <w:gridCol w:w="1416"/>
        <w:gridCol w:w="1416"/>
        <w:gridCol w:w="1416"/>
        <w:gridCol w:w="1416"/>
        <w:gridCol w:w="1416"/>
      </w:tblGrid>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lastRenderedPageBreak/>
              <w:t>Data Items in Millions</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2022</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2021</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2020</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2019</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2018</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NOPAT</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72738</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61271</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44281</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39240</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16571</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WACC</w:t>
            </w:r>
          </w:p>
        </w:tc>
        <w:tc>
          <w:tcPr>
            <w:tcW w:w="1416" w:type="dxa"/>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9.78</w:t>
            </w:r>
          </w:p>
        </w:tc>
        <w:tc>
          <w:tcPr>
            <w:tcW w:w="1416" w:type="dxa"/>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8.11</w:t>
            </w:r>
          </w:p>
        </w:tc>
        <w:tc>
          <w:tcPr>
            <w:tcW w:w="1416" w:type="dxa"/>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5.95</w:t>
            </w:r>
          </w:p>
        </w:tc>
        <w:tc>
          <w:tcPr>
            <w:tcW w:w="1416" w:type="dxa"/>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5.61</w:t>
            </w:r>
          </w:p>
        </w:tc>
        <w:tc>
          <w:tcPr>
            <w:tcW w:w="1416" w:type="dxa"/>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7.61</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Shareholder's Equity</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63090</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65339</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90488</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90488</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107147</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Interest</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9023</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3750</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5518</w:t>
            </w:r>
          </w:p>
        </w:tc>
        <w:tc>
          <w:tcPr>
            <w:tcW w:w="1416"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4000</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10060</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Debt</w:t>
            </w:r>
          </w:p>
        </w:tc>
        <w:tc>
          <w:tcPr>
            <w:tcW w:w="1416" w:type="dxa"/>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110087</w:t>
            </w:r>
          </w:p>
        </w:tc>
        <w:tc>
          <w:tcPr>
            <w:tcW w:w="1416" w:type="dxa"/>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118719</w:t>
            </w:r>
          </w:p>
        </w:tc>
        <w:tc>
          <w:tcPr>
            <w:tcW w:w="1416" w:type="dxa"/>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107440</w:t>
            </w:r>
          </w:p>
        </w:tc>
        <w:tc>
          <w:tcPr>
            <w:tcW w:w="1416" w:type="dxa"/>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102067</w:t>
            </w:r>
          </w:p>
        </w:tc>
        <w:tc>
          <w:tcPr>
            <w:tcW w:w="1416" w:type="dxa"/>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102519</w:t>
            </w:r>
          </w:p>
        </w:tc>
      </w:tr>
      <w:tr w:rsidR="00514E49" w:rsidRPr="00514E49" w:rsidTr="00F02938">
        <w:trPr>
          <w:trHeight w:val="330"/>
        </w:trPr>
        <w:tc>
          <w:tcPr>
            <w:tcW w:w="2040" w:type="dxa"/>
            <w:noWrap/>
            <w:hideMark/>
          </w:tcPr>
          <w:p w:rsidR="00514E49" w:rsidRPr="00514E49" w:rsidRDefault="00514E49" w:rsidP="00043BF6">
            <w:pPr>
              <w:tabs>
                <w:tab w:val="left" w:pos="2190"/>
              </w:tabs>
              <w:spacing w:line="480" w:lineRule="auto"/>
              <w:ind w:firstLine="720"/>
              <w:rPr>
                <w:rFonts w:ascii="Times New Roman" w:hAnsi="Times New Roman" w:cs="Times New Roman"/>
                <w:sz w:val="24"/>
                <w:szCs w:val="24"/>
              </w:rPr>
            </w:pPr>
            <w:r w:rsidRPr="00514E49">
              <w:rPr>
                <w:rFonts w:ascii="Times New Roman" w:hAnsi="Times New Roman" w:cs="Times New Roman"/>
                <w:sz w:val="24"/>
                <w:szCs w:val="24"/>
              </w:rPr>
              <w:t>AEV</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444123.7</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463770.3</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112313.3</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81758.19</w:t>
            </w:r>
          </w:p>
        </w:tc>
        <w:tc>
          <w:tcPr>
            <w:tcW w:w="1416" w:type="dxa"/>
            <w:noWrap/>
            <w:hideMark/>
          </w:tcPr>
          <w:p w:rsidR="00514E49" w:rsidRPr="00514E49" w:rsidRDefault="00514E49" w:rsidP="00043BF6">
            <w:pPr>
              <w:tabs>
                <w:tab w:val="left" w:pos="2190"/>
              </w:tabs>
              <w:spacing w:line="480" w:lineRule="auto"/>
              <w:rPr>
                <w:rFonts w:ascii="Times New Roman" w:hAnsi="Times New Roman" w:cs="Times New Roman"/>
                <w:sz w:val="24"/>
                <w:szCs w:val="24"/>
              </w:rPr>
            </w:pPr>
            <w:r w:rsidRPr="00514E49">
              <w:rPr>
                <w:rFonts w:ascii="Times New Roman" w:hAnsi="Times New Roman" w:cs="Times New Roman"/>
                <w:sz w:val="24"/>
                <w:szCs w:val="24"/>
              </w:rPr>
              <w:t>-95204.7</w:t>
            </w:r>
          </w:p>
        </w:tc>
      </w:tr>
    </w:tbl>
    <w:p w:rsidR="00514E49" w:rsidRPr="00F02938" w:rsidRDefault="00A2045B" w:rsidP="00043BF6">
      <w:pPr>
        <w:tabs>
          <w:tab w:val="left" w:pos="2190"/>
        </w:tabs>
        <w:spacing w:line="480" w:lineRule="auto"/>
        <w:rPr>
          <w:rFonts w:ascii="Times New Roman" w:hAnsi="Times New Roman" w:cs="Times New Roman"/>
          <w:i/>
          <w:sz w:val="24"/>
          <w:szCs w:val="24"/>
        </w:rPr>
      </w:pPr>
      <w:r>
        <w:rPr>
          <w:rFonts w:ascii="Times New Roman" w:hAnsi="Times New Roman" w:cs="Times New Roman"/>
          <w:i/>
          <w:sz w:val="24"/>
          <w:szCs w:val="24"/>
        </w:rPr>
        <w:t>Table 12</w:t>
      </w:r>
      <w:r w:rsidR="00411EC2">
        <w:rPr>
          <w:rFonts w:ascii="Times New Roman" w:hAnsi="Times New Roman" w:cs="Times New Roman"/>
          <w:i/>
          <w:sz w:val="24"/>
          <w:szCs w:val="24"/>
        </w:rPr>
        <w:t>: Microsoft Corp</w:t>
      </w:r>
      <w:bookmarkStart w:id="0" w:name="_GoBack"/>
      <w:bookmarkEnd w:id="0"/>
      <w:r w:rsidR="00F02938">
        <w:rPr>
          <w:rFonts w:ascii="Times New Roman" w:hAnsi="Times New Roman" w:cs="Times New Roman"/>
          <w:i/>
          <w:sz w:val="24"/>
          <w:szCs w:val="24"/>
        </w:rPr>
        <w:t>. Abnormal Earning’s Valuation</w:t>
      </w:r>
    </w:p>
    <w:p w:rsidR="0036688E" w:rsidRDefault="0036688E" w:rsidP="00043BF6">
      <w:pPr>
        <w:tabs>
          <w:tab w:val="left" w:pos="2190"/>
        </w:tabs>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Microsoft’s cost of capital has been rising with 9.1684% annually </w:t>
      </w:r>
      <w:r w:rsidRPr="0036688E">
        <w:rPr>
          <w:rFonts w:ascii="Times New Roman" w:hAnsi="Times New Roman" w:cs="Times New Roman"/>
          <w:sz w:val="24"/>
          <w:szCs w:val="24"/>
        </w:rPr>
        <w:t>as a result of using an excessive amount of costly equity to finance their capital structure while maintaining a high return on equity.</w:t>
      </w:r>
    </w:p>
    <w:p w:rsidR="0008722A" w:rsidRDefault="005B4CD3" w:rsidP="00043BF6">
      <w:pPr>
        <w:tabs>
          <w:tab w:val="left" w:pos="2190"/>
        </w:tabs>
        <w:spacing w:line="480" w:lineRule="auto"/>
        <w:ind w:firstLine="720"/>
        <w:rPr>
          <w:rFonts w:ascii="Times New Roman" w:hAnsi="Times New Roman" w:cs="Times New Roman"/>
          <w:sz w:val="24"/>
          <w:szCs w:val="24"/>
        </w:rPr>
      </w:pPr>
      <w:r w:rsidRPr="005B4CD3">
        <w:rPr>
          <w:rFonts w:ascii="Times New Roman" w:hAnsi="Times New Roman" w:cs="Times New Roman"/>
          <w:sz w:val="24"/>
          <w:szCs w:val="24"/>
        </w:rPr>
        <w:t>The corporation is not being transparent with its shareholders because of its 33% COC and 18.5% ROA. The average yearly return on book equity (book equity being the initial equity investment) is 15%</w:t>
      </w:r>
      <w:r w:rsidR="00AD11A3">
        <w:rPr>
          <w:rFonts w:ascii="Times New Roman" w:hAnsi="Times New Roman" w:cs="Times New Roman"/>
          <w:sz w:val="24"/>
          <w:szCs w:val="24"/>
        </w:rPr>
        <w:t xml:space="preserve"> </w:t>
      </w:r>
      <w:r w:rsidR="00AD11A3" w:rsidRPr="00AD11A3">
        <w:rPr>
          <w:rFonts w:ascii="Times New Roman" w:hAnsi="Times New Roman" w:cs="Times New Roman"/>
          <w:sz w:val="24"/>
          <w:szCs w:val="24"/>
        </w:rPr>
        <w:t>(Josh, 2022)</w:t>
      </w:r>
      <w:r w:rsidRPr="005B4CD3">
        <w:rPr>
          <w:rFonts w:ascii="Times New Roman" w:hAnsi="Times New Roman" w:cs="Times New Roman"/>
          <w:sz w:val="24"/>
          <w:szCs w:val="24"/>
        </w:rPr>
        <w:t>. While this is a positive trend, the skyrocketing cost of finance makes it mostly irrelevant. Either the COC must be lowered or the ROA must be raised, both of which require spending down the surplus</w:t>
      </w:r>
      <w:r w:rsidR="00AD11A3">
        <w:rPr>
          <w:rFonts w:ascii="Times New Roman" w:hAnsi="Times New Roman" w:cs="Times New Roman"/>
          <w:sz w:val="24"/>
          <w:szCs w:val="24"/>
        </w:rPr>
        <w:t xml:space="preserve"> </w:t>
      </w:r>
      <w:r w:rsidR="00AD11A3" w:rsidRPr="00AD11A3">
        <w:rPr>
          <w:rFonts w:ascii="Times New Roman" w:hAnsi="Times New Roman" w:cs="Times New Roman"/>
          <w:sz w:val="24"/>
          <w:szCs w:val="24"/>
        </w:rPr>
        <w:t>(Josh, 2022)</w:t>
      </w:r>
      <w:r w:rsidRPr="005B4CD3">
        <w:rPr>
          <w:rFonts w:ascii="Times New Roman" w:hAnsi="Times New Roman" w:cs="Times New Roman"/>
          <w:sz w:val="24"/>
          <w:szCs w:val="24"/>
        </w:rPr>
        <w:t>.</w:t>
      </w:r>
    </w:p>
    <w:p w:rsidR="0008722A" w:rsidRDefault="0008722A" w:rsidP="00043BF6">
      <w:pPr>
        <w:tabs>
          <w:tab w:val="left" w:pos="2190"/>
        </w:tabs>
        <w:spacing w:line="480" w:lineRule="auto"/>
        <w:jc w:val="center"/>
        <w:rPr>
          <w:rFonts w:ascii="Times New Roman" w:hAnsi="Times New Roman" w:cs="Times New Roman"/>
          <w:b/>
          <w:sz w:val="24"/>
          <w:szCs w:val="24"/>
        </w:rPr>
      </w:pPr>
      <w:r w:rsidRPr="0053416A">
        <w:rPr>
          <w:rFonts w:ascii="Times New Roman" w:hAnsi="Times New Roman" w:cs="Times New Roman"/>
          <w:b/>
          <w:sz w:val="24"/>
          <w:szCs w:val="24"/>
        </w:rPr>
        <w:t>Conclusion</w:t>
      </w:r>
    </w:p>
    <w:p w:rsidR="0053416A" w:rsidRDefault="0053416A" w:rsidP="00043BF6">
      <w:pPr>
        <w:tabs>
          <w:tab w:val="left" w:pos="720"/>
        </w:tabs>
        <w:spacing w:line="480" w:lineRule="auto"/>
        <w:rPr>
          <w:rFonts w:ascii="Times New Roman" w:hAnsi="Times New Roman" w:cs="Times New Roman"/>
          <w:sz w:val="24"/>
          <w:szCs w:val="24"/>
        </w:rPr>
      </w:pPr>
      <w:r>
        <w:rPr>
          <w:rFonts w:ascii="Times New Roman" w:hAnsi="Times New Roman" w:cs="Times New Roman"/>
          <w:b/>
          <w:sz w:val="24"/>
          <w:szCs w:val="24"/>
        </w:rPr>
        <w:tab/>
      </w:r>
      <w:r w:rsidR="00D448B8" w:rsidRPr="00626922">
        <w:rPr>
          <w:rFonts w:ascii="Times New Roman" w:hAnsi="Times New Roman" w:cs="Times New Roman"/>
          <w:sz w:val="24"/>
          <w:szCs w:val="24"/>
        </w:rPr>
        <w:t xml:space="preserve">Since 2017, Apple's Return on Equity (ROE) has increased year, reaching a record high of 1.9695 in 2022 on the back of record-breaking Mac sales and stellar results in the services sector. Microsoft's return on equity grew from 4.68% in 2018 to 24.85% in 2019, mostly as a result of artificial intelligence (AI) projects. Microsoft's Net Operating Assets (NOA) has shown more </w:t>
      </w:r>
      <w:r w:rsidR="00D448B8" w:rsidRPr="00626922">
        <w:rPr>
          <w:rFonts w:ascii="Times New Roman" w:hAnsi="Times New Roman" w:cs="Times New Roman"/>
          <w:sz w:val="24"/>
          <w:szCs w:val="24"/>
        </w:rPr>
        <w:lastRenderedPageBreak/>
        <w:t>volatility due to asset and liability fluctuations, indicating proactive resource and debt oversight for profitability, while Apple's NOA has shown less volatility. The increasing debt-to-equity ratio at Apple is indicative of its increasing reliance on debt, whereas the lower ratio at Microsoft indicates conservative financial management and lesser financial risk. While Apple's rising WACC may be the result of debt accumulation and aggressive stock repurchase plans, Microsoft's lower WACC is indicative of prudent financial management. In comparison to Microsoft, whose ROIC is exceptional but not as high, Apple's is very high.</w:t>
      </w:r>
    </w:p>
    <w:p w:rsidR="009B2FA5" w:rsidRPr="007C1474" w:rsidRDefault="00914849" w:rsidP="00043BF6">
      <w:pPr>
        <w:tabs>
          <w:tab w:val="left" w:pos="720"/>
        </w:tabs>
        <w:spacing w:line="480" w:lineRule="auto"/>
        <w:jc w:val="center"/>
        <w:rPr>
          <w:rFonts w:ascii="Times New Roman" w:hAnsi="Times New Roman" w:cs="Times New Roman"/>
          <w:b/>
          <w:sz w:val="24"/>
          <w:szCs w:val="24"/>
        </w:rPr>
      </w:pPr>
      <w:r w:rsidRPr="007C1474">
        <w:rPr>
          <w:rFonts w:ascii="Times New Roman" w:hAnsi="Times New Roman" w:cs="Times New Roman"/>
          <w:b/>
          <w:sz w:val="24"/>
          <w:szCs w:val="24"/>
        </w:rPr>
        <w:t>Recommendations</w:t>
      </w:r>
    </w:p>
    <w:p w:rsidR="00914849" w:rsidRPr="00914849" w:rsidRDefault="007C1474" w:rsidP="00043BF6">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r>
      <w:r w:rsidR="00914849" w:rsidRPr="00914849">
        <w:rPr>
          <w:rFonts w:ascii="Times New Roman" w:hAnsi="Times New Roman" w:cs="Times New Roman"/>
          <w:sz w:val="24"/>
          <w:szCs w:val="24"/>
        </w:rPr>
        <w:t xml:space="preserve">Apple's growing debt means the business must maintain a keen eye on its financial structure. Although stock repurchases have been helpful, it's important for a company to have the right mix of equity and debt financing or the WACC will rise </w:t>
      </w:r>
      <w:r w:rsidRPr="00914849">
        <w:rPr>
          <w:rFonts w:ascii="Times New Roman" w:hAnsi="Times New Roman" w:cs="Times New Roman"/>
          <w:sz w:val="24"/>
          <w:szCs w:val="24"/>
        </w:rPr>
        <w:t>indefinitely</w:t>
      </w:r>
      <w:r w:rsidR="00914849" w:rsidRPr="00914849">
        <w:rPr>
          <w:rFonts w:ascii="Times New Roman" w:hAnsi="Times New Roman" w:cs="Times New Roman"/>
          <w:sz w:val="24"/>
          <w:szCs w:val="24"/>
        </w:rPr>
        <w:t>. It is also important to maintain spending on goods and servi</w:t>
      </w:r>
      <w:r w:rsidR="00914849">
        <w:rPr>
          <w:rFonts w:ascii="Times New Roman" w:hAnsi="Times New Roman" w:cs="Times New Roman"/>
          <w:sz w:val="24"/>
          <w:szCs w:val="24"/>
        </w:rPr>
        <w:t>ces with strong profit margins.</w:t>
      </w:r>
    </w:p>
    <w:p w:rsidR="00914849" w:rsidRDefault="007C1474" w:rsidP="00043BF6">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r>
      <w:r w:rsidR="00914849" w:rsidRPr="00914849">
        <w:rPr>
          <w:rFonts w:ascii="Times New Roman" w:hAnsi="Times New Roman" w:cs="Times New Roman"/>
          <w:sz w:val="24"/>
          <w:szCs w:val="24"/>
        </w:rPr>
        <w:t>Microsoft has successfully reduced financial risk by decreasing its debt-to-equity ratio. To avoid jeopardizing its future financial health, the corporation should exercise caution when it takes on further debt. To fuel future revenue growth, Microsoft should maintain its investment in cutting-edge technology like artificial intelligence.</w:t>
      </w: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411EC2">
      <w:pPr>
        <w:pStyle w:val="NormalWeb"/>
        <w:spacing w:before="0" w:beforeAutospacing="0" w:after="0" w:afterAutospacing="0" w:line="480" w:lineRule="auto"/>
        <w:jc w:val="center"/>
        <w:rPr>
          <w:b/>
          <w:bCs/>
        </w:rPr>
      </w:pPr>
      <w:r>
        <w:rPr>
          <w:b/>
          <w:bCs/>
        </w:rPr>
        <w:lastRenderedPageBreak/>
        <w:t>References</w:t>
      </w:r>
    </w:p>
    <w:p w:rsidR="00411EC2" w:rsidRDefault="00411EC2" w:rsidP="00411EC2">
      <w:pPr>
        <w:pStyle w:val="NormalWeb"/>
        <w:spacing w:before="0" w:beforeAutospacing="0" w:after="0" w:afterAutospacing="0" w:line="480" w:lineRule="auto"/>
        <w:ind w:left="720" w:hanging="720"/>
      </w:pPr>
      <w:r>
        <w:t xml:space="preserve">Calzon, B. (2023, October 17). </w:t>
      </w:r>
      <w:r>
        <w:rPr>
          <w:i/>
          <w:iCs/>
        </w:rPr>
        <w:t>BI Blog | Data Visualization &amp; Analytics Blog | datapine</w:t>
      </w:r>
      <w:r>
        <w:t>. BI Blog | Data Visualization &amp; Analytics Blog | Datapine. https://www.datapine.com/blog/management-reporting-best-practices-and-examples/</w:t>
      </w:r>
    </w:p>
    <w:p w:rsidR="00411EC2" w:rsidRDefault="00411EC2" w:rsidP="00411EC2">
      <w:pPr>
        <w:pStyle w:val="NormalWeb"/>
        <w:spacing w:before="0" w:beforeAutospacing="0" w:after="0" w:afterAutospacing="0" w:line="480" w:lineRule="auto"/>
        <w:ind w:left="720" w:hanging="720"/>
      </w:pPr>
      <w:r>
        <w:t xml:space="preserve">Craig, R. (2023, February 14). </w:t>
      </w:r>
      <w:r>
        <w:rPr>
          <w:i/>
          <w:iCs/>
        </w:rPr>
        <w:t>Overcoming tech debt: How to make your cloud pay - New Zealand News Centre</w:t>
      </w:r>
      <w:r>
        <w:t>. News.microsoft.com. https://news.microsoft.com/en-nz/2023/02/15/overcoming-tech-debt-how-to-make-your-cloud-pay/</w:t>
      </w:r>
    </w:p>
    <w:p w:rsidR="00411EC2" w:rsidRDefault="00411EC2" w:rsidP="00411EC2">
      <w:pPr>
        <w:pStyle w:val="NormalWeb"/>
        <w:spacing w:before="0" w:beforeAutospacing="0" w:after="0" w:afterAutospacing="0" w:line="480" w:lineRule="auto"/>
        <w:ind w:left="720" w:hanging="720"/>
      </w:pPr>
      <w:r>
        <w:t xml:space="preserve">DeVon, C. (2023, April 27). </w:t>
      </w:r>
      <w:r>
        <w:rPr>
          <w:i/>
          <w:iCs/>
        </w:rPr>
        <w:t>Here’s how much money you’d have if you invested $1,000 in Microsoft 10 years ago</w:t>
      </w:r>
      <w:r>
        <w:t>. CNBC. https://www.cnbc.com/2023/04/27/microsoft-how-much-money-youd-have-if-you-invested-1000-dollars-a-decade-ago.html</w:t>
      </w:r>
    </w:p>
    <w:p w:rsidR="00411EC2" w:rsidRDefault="00411EC2" w:rsidP="00411EC2">
      <w:pPr>
        <w:pStyle w:val="NormalWeb"/>
        <w:spacing w:before="0" w:beforeAutospacing="0" w:after="0" w:afterAutospacing="0" w:line="480" w:lineRule="auto"/>
        <w:ind w:left="720" w:hanging="720"/>
      </w:pPr>
      <w:r>
        <w:t xml:space="preserve">Fiorillo, S. (2022). </w:t>
      </w:r>
      <w:r>
        <w:rPr>
          <w:i/>
          <w:iCs/>
        </w:rPr>
        <w:t>Apple And Microsoft: An In-Depth Comparison Across 17 Categories (NASDAQ:AAPL) | Seeking Alpha</w:t>
      </w:r>
      <w:r>
        <w:t>. Seekingalpha.com. https://seekingalpha.com/article/4417318-apple-microsoft-in-depth-comparison-across-17-categories</w:t>
      </w:r>
    </w:p>
    <w:p w:rsidR="00411EC2" w:rsidRDefault="00411EC2" w:rsidP="00411EC2">
      <w:pPr>
        <w:pStyle w:val="NormalWeb"/>
        <w:spacing w:before="0" w:beforeAutospacing="0" w:after="0" w:afterAutospacing="0" w:line="480" w:lineRule="auto"/>
        <w:ind w:left="720" w:hanging="720"/>
      </w:pPr>
      <w:r w:rsidRPr="00411EC2">
        <w:rPr>
          <w:lang w:val="de-DE"/>
        </w:rPr>
        <w:t xml:space="preserve">Gupta, C., Fernandez-Crehuet, J. M., &amp; Gupta, V. (2022). </w:t>
      </w:r>
      <w:r>
        <w:t xml:space="preserve">A novel value-based multi-criteria decision making approach to evaluate new technology adoption in SMEs. </w:t>
      </w:r>
      <w:r>
        <w:rPr>
          <w:i/>
          <w:iCs/>
        </w:rPr>
        <w:t>PeerJ Computer Science</w:t>
      </w:r>
      <w:r>
        <w:t xml:space="preserve">, </w:t>
      </w:r>
      <w:r>
        <w:rPr>
          <w:i/>
          <w:iCs/>
        </w:rPr>
        <w:t>8</w:t>
      </w:r>
      <w:r>
        <w:t>(1), e1184. https://doi.org/10.7717/peerj-cs.1184</w:t>
      </w:r>
    </w:p>
    <w:p w:rsidR="00411EC2" w:rsidRDefault="00411EC2" w:rsidP="00411EC2">
      <w:pPr>
        <w:pStyle w:val="NormalWeb"/>
        <w:spacing w:before="0" w:beforeAutospacing="0" w:after="0" w:afterAutospacing="0" w:line="480" w:lineRule="auto"/>
        <w:ind w:left="720" w:hanging="720"/>
      </w:pPr>
      <w:r>
        <w:t xml:space="preserve">Hoogervost, H., &amp; Golden, R. (2023). </w:t>
      </w:r>
      <w:r>
        <w:rPr>
          <w:i/>
          <w:iCs/>
        </w:rPr>
        <w:t>Apple</w:t>
      </w:r>
      <w:r>
        <w:t>. https://www.ifrs.org/content/dam/ifrs/project/revenue-from-contracts-with-customers/exposure-draft-effective-date/consultative-documents/late-cls/apple.pdf</w:t>
      </w:r>
    </w:p>
    <w:p w:rsidR="00411EC2" w:rsidRDefault="00411EC2" w:rsidP="00411EC2">
      <w:pPr>
        <w:pStyle w:val="NormalWeb"/>
        <w:spacing w:before="0" w:beforeAutospacing="0" w:after="0" w:afterAutospacing="0" w:line="480" w:lineRule="auto"/>
        <w:ind w:left="720" w:hanging="720"/>
      </w:pPr>
      <w:r>
        <w:t xml:space="preserve">Josh. (2022, July 24). </w:t>
      </w:r>
      <w:r>
        <w:rPr>
          <w:i/>
          <w:iCs/>
        </w:rPr>
        <w:t>Microsoft Financial Analysis - Not Great but Fixable</w:t>
      </w:r>
      <w:r>
        <w:t>. The Business Ferret. https://thebusinessferret.com/microsoft-financial-analysis-destroying-value-with-too-much-cash/</w:t>
      </w:r>
    </w:p>
    <w:p w:rsidR="00411EC2" w:rsidRDefault="00411EC2" w:rsidP="00411EC2">
      <w:pPr>
        <w:pStyle w:val="NormalWeb"/>
        <w:spacing w:before="0" w:beforeAutospacing="0" w:after="0" w:afterAutospacing="0" w:line="480" w:lineRule="auto"/>
        <w:ind w:left="720" w:hanging="720"/>
      </w:pPr>
      <w:r>
        <w:lastRenderedPageBreak/>
        <w:t xml:space="preserve">Krouse, A. T. and S. (2022, August 9). WSJ News Exclusive | Microsoft Tries to Reduce Business Expenses by Restricting Spending on Travel and Company Gatherings. </w:t>
      </w:r>
      <w:r>
        <w:rPr>
          <w:i/>
          <w:iCs/>
        </w:rPr>
        <w:t>Wall Street Journal</w:t>
      </w:r>
      <w:r>
        <w:t>. https://www.wsj.com/articles/microsoft-tries-to-reduce-business-expenses-by-restricting-spending-on-travel-teams-11660069731</w:t>
      </w:r>
    </w:p>
    <w:p w:rsidR="00411EC2" w:rsidRDefault="00411EC2" w:rsidP="00411EC2">
      <w:pPr>
        <w:pStyle w:val="NormalWeb"/>
        <w:spacing w:before="0" w:beforeAutospacing="0" w:after="0" w:afterAutospacing="0" w:line="480" w:lineRule="auto"/>
        <w:ind w:left="720" w:hanging="720"/>
      </w:pPr>
      <w:r>
        <w:t xml:space="preserve">Microsoft. (2023). </w:t>
      </w:r>
      <w:r>
        <w:rPr>
          <w:i/>
          <w:iCs/>
        </w:rPr>
        <w:t>Accounting Policies</w:t>
      </w:r>
      <w:r>
        <w:t>. Www.microsoft.com. https://www.microsoft.com/investor/reports/ar13/financial-review/notes/index.html#:~:text=Common%20and%20preferred%20stock%20and</w:t>
      </w:r>
    </w:p>
    <w:p w:rsidR="00411EC2" w:rsidRDefault="00411EC2" w:rsidP="00411EC2">
      <w:pPr>
        <w:pStyle w:val="NormalWeb"/>
        <w:spacing w:before="0" w:beforeAutospacing="0" w:after="0" w:afterAutospacing="0" w:line="480" w:lineRule="auto"/>
        <w:ind w:left="720" w:hanging="720"/>
      </w:pPr>
      <w:r>
        <w:t xml:space="preserve">Mohamed, T. (2022). </w:t>
      </w:r>
      <w:r>
        <w:rPr>
          <w:i/>
          <w:iCs/>
        </w:rPr>
        <w:t>Apple has plowed over $500 billion into stock buybacks since 2012 — more than Visa, JPMorgan, or Exxon are worth</w:t>
      </w:r>
      <w:r>
        <w:t>. Markets Insider. https://markets.businessinsider.com/news/stocks/apple-stock-buybacks-share-repurchases-500-billion-buffett-berkshire-cook-2023-8#:~:text=Apple%20has%20spent%20upwards%20of</w:t>
      </w:r>
    </w:p>
    <w:p w:rsidR="00411EC2" w:rsidRDefault="00411EC2" w:rsidP="00411EC2">
      <w:pPr>
        <w:pStyle w:val="NormalWeb"/>
        <w:spacing w:before="0" w:beforeAutospacing="0" w:after="0" w:afterAutospacing="0" w:line="480" w:lineRule="auto"/>
        <w:ind w:left="720" w:hanging="720"/>
      </w:pPr>
      <w:r>
        <w:t xml:space="preserve">Mullaney, T. (2022, February 2). </w:t>
      </w:r>
      <w:r>
        <w:rPr>
          <w:i/>
          <w:iCs/>
        </w:rPr>
        <w:t>“This is a big deal”: How Apple earnings can grow even if iPhone growth goes to zero</w:t>
      </w:r>
      <w:r>
        <w:t>. CNBC. https://www.cnbc.com/2022/02/02/how-apple-earnings-can-grow-even-if-iphone-growth-goes-to-zero-.html</w:t>
      </w:r>
    </w:p>
    <w:p w:rsidR="00411EC2" w:rsidRDefault="00411EC2" w:rsidP="00411EC2">
      <w:pPr>
        <w:pStyle w:val="NormalWeb"/>
        <w:spacing w:before="0" w:beforeAutospacing="0" w:after="0" w:afterAutospacing="0" w:line="480" w:lineRule="auto"/>
        <w:ind w:left="720" w:hanging="720"/>
      </w:pPr>
      <w:r>
        <w:t xml:space="preserve">Speights, K. (2023). </w:t>
      </w:r>
      <w:r>
        <w:rPr>
          <w:i/>
          <w:iCs/>
        </w:rPr>
        <w:t>Apple Is Blowing Away Amazon, Google, Microsoft, and Nvidia on This Key Metric</w:t>
      </w:r>
      <w:r>
        <w:t>. Nasdaq.com. https://www.nasdaq.com/articles/apple-is-blowing-away-amazon-google-microsoft-and-nvidia-on-this-key-metric</w:t>
      </w:r>
    </w:p>
    <w:p w:rsidR="00411EC2" w:rsidRDefault="00411EC2" w:rsidP="00411EC2">
      <w:pPr>
        <w:pStyle w:val="NormalWeb"/>
        <w:spacing w:before="0" w:beforeAutospacing="0" w:after="0" w:afterAutospacing="0" w:line="480" w:lineRule="auto"/>
        <w:ind w:left="720" w:hanging="720"/>
      </w:pPr>
      <w:r>
        <w:t xml:space="preserve">StockNews. (2022). </w:t>
      </w:r>
      <w:r>
        <w:rPr>
          <w:i/>
          <w:iCs/>
        </w:rPr>
        <w:t>AAPL: Better MAGA Stock: Apple vs. Microsoft</w:t>
      </w:r>
      <w:r>
        <w:t>. StockNews.com. https://stocknews.com/news/aapl-msft-better-maga-stock-apple-vs-microsoft/</w:t>
      </w:r>
    </w:p>
    <w:p w:rsidR="00411EC2" w:rsidRDefault="00411EC2" w:rsidP="00411EC2">
      <w:pPr>
        <w:pStyle w:val="NormalWeb"/>
        <w:spacing w:before="0" w:beforeAutospacing="0" w:after="0" w:afterAutospacing="0" w:line="480" w:lineRule="auto"/>
        <w:ind w:left="720" w:hanging="720"/>
      </w:pPr>
      <w:r>
        <w:t xml:space="preserve">Tuovila, A. (2023, January 21). </w:t>
      </w:r>
      <w:r>
        <w:rPr>
          <w:i/>
          <w:iCs/>
        </w:rPr>
        <w:t>Financial Analysis</w:t>
      </w:r>
      <w:r>
        <w:t>. Investopedia. https://www.investopedia.com/terms/f/financial-analysis.asp</w:t>
      </w:r>
    </w:p>
    <w:p w:rsidR="00411EC2" w:rsidRDefault="00411EC2" w:rsidP="00411EC2">
      <w:pPr>
        <w:pStyle w:val="NormalWeb"/>
        <w:spacing w:before="0" w:beforeAutospacing="0" w:after="0" w:afterAutospacing="0" w:line="480" w:lineRule="auto"/>
        <w:ind w:left="720" w:hanging="720"/>
      </w:pPr>
      <w:r>
        <w:t xml:space="preserve">Tutor2u. (2023). </w:t>
      </w:r>
      <w:r>
        <w:rPr>
          <w:i/>
          <w:iCs/>
        </w:rPr>
        <w:t>Why is Apple so profitable?</w:t>
      </w:r>
      <w:r>
        <w:t xml:space="preserve"> Www.tutor2u.net. https://www.tutor2u.net/economics/reference/why-is-apple-so-profitable</w:t>
      </w:r>
    </w:p>
    <w:p w:rsidR="00411EC2" w:rsidRDefault="00411EC2" w:rsidP="00411EC2">
      <w:pPr>
        <w:pStyle w:val="NormalWeb"/>
        <w:spacing w:before="0" w:beforeAutospacing="0" w:after="0" w:afterAutospacing="0" w:line="480" w:lineRule="auto"/>
        <w:ind w:left="720" w:hanging="720"/>
      </w:pPr>
      <w:r>
        <w:lastRenderedPageBreak/>
        <w:t xml:space="preserve">Yarow, J. (2018, May 2). </w:t>
      </w:r>
      <w:r>
        <w:rPr>
          <w:i/>
          <w:iCs/>
        </w:rPr>
        <w:t>Apple proved that it is no longer just an iPhone company</w:t>
      </w:r>
      <w:r>
        <w:t>. CNBC; CNBC. https://www.cnbc.com/2018/05/02/apple-proved-that-it-is-no-longer-just-an-iphone-company.html</w:t>
      </w:r>
    </w:p>
    <w:p w:rsidR="00411EC2" w:rsidRDefault="00411EC2" w:rsidP="00043BF6">
      <w:pPr>
        <w:tabs>
          <w:tab w:val="left" w:pos="720"/>
        </w:tabs>
        <w:spacing w:line="480" w:lineRule="auto"/>
        <w:rPr>
          <w:rFonts w:ascii="Times New Roman" w:hAnsi="Times New Roman" w:cs="Times New Roman"/>
          <w:sz w:val="24"/>
          <w:szCs w:val="24"/>
        </w:rPr>
      </w:pPr>
    </w:p>
    <w:p w:rsidR="00411EC2" w:rsidRDefault="00411EC2" w:rsidP="00043BF6">
      <w:pPr>
        <w:tabs>
          <w:tab w:val="left" w:pos="720"/>
        </w:tabs>
        <w:spacing w:line="480" w:lineRule="auto"/>
        <w:rPr>
          <w:rFonts w:ascii="Times New Roman" w:hAnsi="Times New Roman" w:cs="Times New Roman"/>
          <w:sz w:val="24"/>
          <w:szCs w:val="24"/>
        </w:rPr>
      </w:pPr>
    </w:p>
    <w:p w:rsidR="00411EC2" w:rsidRPr="00626922" w:rsidRDefault="00411EC2" w:rsidP="00043BF6">
      <w:pPr>
        <w:tabs>
          <w:tab w:val="left" w:pos="720"/>
        </w:tabs>
        <w:spacing w:line="480" w:lineRule="auto"/>
        <w:rPr>
          <w:rFonts w:ascii="Times New Roman" w:hAnsi="Times New Roman" w:cs="Times New Roman"/>
          <w:sz w:val="24"/>
          <w:szCs w:val="24"/>
        </w:rPr>
      </w:pPr>
    </w:p>
    <w:sectPr w:rsidR="00411EC2" w:rsidRPr="00626922">
      <w:headerReference w:type="default" r:id="rId9"/>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15C" w:rsidRDefault="00E2115C" w:rsidP="00B75FE3">
      <w:pPr>
        <w:spacing w:after="0" w:line="240" w:lineRule="auto"/>
      </w:pPr>
      <w:r>
        <w:separator/>
      </w:r>
    </w:p>
  </w:endnote>
  <w:endnote w:type="continuationSeparator" w:id="0">
    <w:p w:rsidR="00E2115C" w:rsidRDefault="00E2115C" w:rsidP="00B7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15C" w:rsidRDefault="00E2115C" w:rsidP="00B75FE3">
      <w:pPr>
        <w:spacing w:after="0" w:line="240" w:lineRule="auto"/>
      </w:pPr>
      <w:r>
        <w:separator/>
      </w:r>
    </w:p>
  </w:footnote>
  <w:footnote w:type="continuationSeparator" w:id="0">
    <w:p w:rsidR="00E2115C" w:rsidRDefault="00E2115C" w:rsidP="00B75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372829"/>
      <w:docPartObj>
        <w:docPartGallery w:val="Page Numbers (Top of Page)"/>
        <w:docPartUnique/>
      </w:docPartObj>
    </w:sdtPr>
    <w:sdtEndPr>
      <w:rPr>
        <w:noProof/>
      </w:rPr>
    </w:sdtEndPr>
    <w:sdtContent>
      <w:p w:rsidR="00043BF6" w:rsidRDefault="00043BF6">
        <w:pPr>
          <w:pStyle w:val="Header"/>
          <w:jc w:val="right"/>
        </w:pPr>
        <w:r>
          <w:fldChar w:fldCharType="begin"/>
        </w:r>
        <w:r>
          <w:instrText xml:space="preserve"> PAGE   \* MERGEFORMAT </w:instrText>
        </w:r>
        <w:r>
          <w:fldChar w:fldCharType="separate"/>
        </w:r>
        <w:r w:rsidR="005F5B67">
          <w:rPr>
            <w:noProof/>
          </w:rPr>
          <w:t>20</w:t>
        </w:r>
        <w:r>
          <w:rPr>
            <w:noProof/>
          </w:rPr>
          <w:fldChar w:fldCharType="end"/>
        </w:r>
      </w:p>
    </w:sdtContent>
  </w:sdt>
  <w:p w:rsidR="00043BF6" w:rsidRDefault="00043B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4AF"/>
    <w:rsid w:val="000053FE"/>
    <w:rsid w:val="00013A4F"/>
    <w:rsid w:val="000233EB"/>
    <w:rsid w:val="00024E74"/>
    <w:rsid w:val="00027073"/>
    <w:rsid w:val="00043BF6"/>
    <w:rsid w:val="00071552"/>
    <w:rsid w:val="00073F3E"/>
    <w:rsid w:val="00074F0A"/>
    <w:rsid w:val="00075B2E"/>
    <w:rsid w:val="000855CD"/>
    <w:rsid w:val="0008722A"/>
    <w:rsid w:val="000A2C76"/>
    <w:rsid w:val="000A351A"/>
    <w:rsid w:val="000D51A6"/>
    <w:rsid w:val="000F33A1"/>
    <w:rsid w:val="000F524A"/>
    <w:rsid w:val="00114430"/>
    <w:rsid w:val="00127519"/>
    <w:rsid w:val="00134A3C"/>
    <w:rsid w:val="0014272A"/>
    <w:rsid w:val="00155CA9"/>
    <w:rsid w:val="00171A8A"/>
    <w:rsid w:val="00191D66"/>
    <w:rsid w:val="001A3DE6"/>
    <w:rsid w:val="001B2A9E"/>
    <w:rsid w:val="001B41C2"/>
    <w:rsid w:val="001E150A"/>
    <w:rsid w:val="00201BB4"/>
    <w:rsid w:val="00211334"/>
    <w:rsid w:val="00217714"/>
    <w:rsid w:val="00233F8D"/>
    <w:rsid w:val="0023543B"/>
    <w:rsid w:val="00236298"/>
    <w:rsid w:val="002400B6"/>
    <w:rsid w:val="00267D1F"/>
    <w:rsid w:val="00297128"/>
    <w:rsid w:val="0029730C"/>
    <w:rsid w:val="002A518D"/>
    <w:rsid w:val="002B05A7"/>
    <w:rsid w:val="002C4A8E"/>
    <w:rsid w:val="002C668D"/>
    <w:rsid w:val="002C6C2C"/>
    <w:rsid w:val="002D23DC"/>
    <w:rsid w:val="002E1714"/>
    <w:rsid w:val="002F098F"/>
    <w:rsid w:val="002F76E1"/>
    <w:rsid w:val="003038A6"/>
    <w:rsid w:val="0031243B"/>
    <w:rsid w:val="00341AE0"/>
    <w:rsid w:val="00342EA2"/>
    <w:rsid w:val="00343A4C"/>
    <w:rsid w:val="0036688E"/>
    <w:rsid w:val="003879FD"/>
    <w:rsid w:val="00393309"/>
    <w:rsid w:val="003A1E53"/>
    <w:rsid w:val="003A6767"/>
    <w:rsid w:val="003B68DA"/>
    <w:rsid w:val="003B6A8E"/>
    <w:rsid w:val="003B75C4"/>
    <w:rsid w:val="003E7DF6"/>
    <w:rsid w:val="003E7F85"/>
    <w:rsid w:val="003F363C"/>
    <w:rsid w:val="003F3C1A"/>
    <w:rsid w:val="00411EC2"/>
    <w:rsid w:val="00413654"/>
    <w:rsid w:val="0042262C"/>
    <w:rsid w:val="004371DB"/>
    <w:rsid w:val="0045547B"/>
    <w:rsid w:val="00463F2D"/>
    <w:rsid w:val="004774F9"/>
    <w:rsid w:val="00496B33"/>
    <w:rsid w:val="004A0DDE"/>
    <w:rsid w:val="004E2B79"/>
    <w:rsid w:val="004E7F23"/>
    <w:rsid w:val="00507C8A"/>
    <w:rsid w:val="00507ED5"/>
    <w:rsid w:val="005141B6"/>
    <w:rsid w:val="00514E49"/>
    <w:rsid w:val="0053416A"/>
    <w:rsid w:val="00534FCF"/>
    <w:rsid w:val="00550CDD"/>
    <w:rsid w:val="00571925"/>
    <w:rsid w:val="00574AA3"/>
    <w:rsid w:val="00587E31"/>
    <w:rsid w:val="005A4C08"/>
    <w:rsid w:val="005B17E2"/>
    <w:rsid w:val="005B286F"/>
    <w:rsid w:val="005B4CD3"/>
    <w:rsid w:val="005F5B67"/>
    <w:rsid w:val="00616C2A"/>
    <w:rsid w:val="00626922"/>
    <w:rsid w:val="006428F9"/>
    <w:rsid w:val="006525A1"/>
    <w:rsid w:val="006725BE"/>
    <w:rsid w:val="006938AA"/>
    <w:rsid w:val="006B2A3E"/>
    <w:rsid w:val="006C3B2A"/>
    <w:rsid w:val="00704B46"/>
    <w:rsid w:val="007070E2"/>
    <w:rsid w:val="007159A6"/>
    <w:rsid w:val="00717696"/>
    <w:rsid w:val="00725492"/>
    <w:rsid w:val="00725F37"/>
    <w:rsid w:val="00732380"/>
    <w:rsid w:val="00733A50"/>
    <w:rsid w:val="00743AE9"/>
    <w:rsid w:val="00760DFA"/>
    <w:rsid w:val="00761CC5"/>
    <w:rsid w:val="00771700"/>
    <w:rsid w:val="00774F1E"/>
    <w:rsid w:val="0079638A"/>
    <w:rsid w:val="007A6A8A"/>
    <w:rsid w:val="007B1D29"/>
    <w:rsid w:val="007C0BB2"/>
    <w:rsid w:val="007C1474"/>
    <w:rsid w:val="007D3733"/>
    <w:rsid w:val="007E400D"/>
    <w:rsid w:val="007F728E"/>
    <w:rsid w:val="00802E42"/>
    <w:rsid w:val="00807D9E"/>
    <w:rsid w:val="008133D6"/>
    <w:rsid w:val="00840C99"/>
    <w:rsid w:val="00853DA8"/>
    <w:rsid w:val="00866958"/>
    <w:rsid w:val="008843E6"/>
    <w:rsid w:val="008A0A04"/>
    <w:rsid w:val="008B144A"/>
    <w:rsid w:val="008D3596"/>
    <w:rsid w:val="008E5977"/>
    <w:rsid w:val="008E6A60"/>
    <w:rsid w:val="008F1D4B"/>
    <w:rsid w:val="009127B6"/>
    <w:rsid w:val="00914849"/>
    <w:rsid w:val="009160E8"/>
    <w:rsid w:val="009177D0"/>
    <w:rsid w:val="00935D56"/>
    <w:rsid w:val="00951B44"/>
    <w:rsid w:val="00982E1C"/>
    <w:rsid w:val="009A351F"/>
    <w:rsid w:val="009A355C"/>
    <w:rsid w:val="009A40CC"/>
    <w:rsid w:val="009B2FA5"/>
    <w:rsid w:val="009B40CF"/>
    <w:rsid w:val="009B4E1F"/>
    <w:rsid w:val="009D40A1"/>
    <w:rsid w:val="009D46DB"/>
    <w:rsid w:val="009E15DC"/>
    <w:rsid w:val="009E4DCE"/>
    <w:rsid w:val="009E52ED"/>
    <w:rsid w:val="009F358A"/>
    <w:rsid w:val="00A110C6"/>
    <w:rsid w:val="00A2045B"/>
    <w:rsid w:val="00A22DEE"/>
    <w:rsid w:val="00A23E82"/>
    <w:rsid w:val="00A64435"/>
    <w:rsid w:val="00AB5A9B"/>
    <w:rsid w:val="00AC57C0"/>
    <w:rsid w:val="00AC5F27"/>
    <w:rsid w:val="00AC7E70"/>
    <w:rsid w:val="00AD11A3"/>
    <w:rsid w:val="00AE1C63"/>
    <w:rsid w:val="00AF504C"/>
    <w:rsid w:val="00B00E67"/>
    <w:rsid w:val="00B163D2"/>
    <w:rsid w:val="00B26C72"/>
    <w:rsid w:val="00B31F8E"/>
    <w:rsid w:val="00B34FF2"/>
    <w:rsid w:val="00B35DCF"/>
    <w:rsid w:val="00B540C8"/>
    <w:rsid w:val="00B577F2"/>
    <w:rsid w:val="00B751D0"/>
    <w:rsid w:val="00B75FE3"/>
    <w:rsid w:val="00BA2B64"/>
    <w:rsid w:val="00BB2B40"/>
    <w:rsid w:val="00BB3866"/>
    <w:rsid w:val="00BE0FBE"/>
    <w:rsid w:val="00BF6776"/>
    <w:rsid w:val="00C410C2"/>
    <w:rsid w:val="00C50352"/>
    <w:rsid w:val="00C61FFE"/>
    <w:rsid w:val="00C669F6"/>
    <w:rsid w:val="00C8345C"/>
    <w:rsid w:val="00C96F4E"/>
    <w:rsid w:val="00CA509B"/>
    <w:rsid w:val="00CA7D73"/>
    <w:rsid w:val="00CB2EF8"/>
    <w:rsid w:val="00CC3A29"/>
    <w:rsid w:val="00CD0B14"/>
    <w:rsid w:val="00CD57BF"/>
    <w:rsid w:val="00CE18DE"/>
    <w:rsid w:val="00CF5797"/>
    <w:rsid w:val="00D1549F"/>
    <w:rsid w:val="00D448B8"/>
    <w:rsid w:val="00D50841"/>
    <w:rsid w:val="00D50948"/>
    <w:rsid w:val="00D6005E"/>
    <w:rsid w:val="00D752F9"/>
    <w:rsid w:val="00D76BE5"/>
    <w:rsid w:val="00D87FEE"/>
    <w:rsid w:val="00DA6BEE"/>
    <w:rsid w:val="00DB51F2"/>
    <w:rsid w:val="00DC67D3"/>
    <w:rsid w:val="00DC709E"/>
    <w:rsid w:val="00DD0859"/>
    <w:rsid w:val="00DE604A"/>
    <w:rsid w:val="00DF06F1"/>
    <w:rsid w:val="00DF1232"/>
    <w:rsid w:val="00DF3566"/>
    <w:rsid w:val="00E16B1D"/>
    <w:rsid w:val="00E173FE"/>
    <w:rsid w:val="00E2115C"/>
    <w:rsid w:val="00E362BE"/>
    <w:rsid w:val="00E42E0E"/>
    <w:rsid w:val="00E452BB"/>
    <w:rsid w:val="00E464F6"/>
    <w:rsid w:val="00E4797D"/>
    <w:rsid w:val="00E50340"/>
    <w:rsid w:val="00E66FA3"/>
    <w:rsid w:val="00E71027"/>
    <w:rsid w:val="00E91D99"/>
    <w:rsid w:val="00EC1B3C"/>
    <w:rsid w:val="00ED4BCA"/>
    <w:rsid w:val="00EE59D3"/>
    <w:rsid w:val="00EE646E"/>
    <w:rsid w:val="00EF1899"/>
    <w:rsid w:val="00EF4FDE"/>
    <w:rsid w:val="00EF719C"/>
    <w:rsid w:val="00F02938"/>
    <w:rsid w:val="00F074AF"/>
    <w:rsid w:val="00F26DF3"/>
    <w:rsid w:val="00F34D37"/>
    <w:rsid w:val="00F35222"/>
    <w:rsid w:val="00F43D68"/>
    <w:rsid w:val="00F44FF8"/>
    <w:rsid w:val="00F51B47"/>
    <w:rsid w:val="00F613DD"/>
    <w:rsid w:val="00F65DD8"/>
    <w:rsid w:val="00F94429"/>
    <w:rsid w:val="00FA6410"/>
    <w:rsid w:val="00FC5BD8"/>
    <w:rsid w:val="00FE4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EA2A"/>
  <w15:chartTrackingRefBased/>
  <w15:docId w15:val="{AC58145B-BD2C-40F8-BD24-F0B3444D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93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6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5FE3"/>
    <w:pPr>
      <w:tabs>
        <w:tab w:val="center" w:pos="4703"/>
        <w:tab w:val="right" w:pos="9406"/>
      </w:tabs>
      <w:spacing w:after="0" w:line="240" w:lineRule="auto"/>
    </w:pPr>
  </w:style>
  <w:style w:type="character" w:customStyle="1" w:styleId="HeaderChar">
    <w:name w:val="Header Char"/>
    <w:basedOn w:val="DefaultParagraphFont"/>
    <w:link w:val="Header"/>
    <w:uiPriority w:val="99"/>
    <w:rsid w:val="00B75FE3"/>
  </w:style>
  <w:style w:type="paragraph" w:styleId="Footer">
    <w:name w:val="footer"/>
    <w:basedOn w:val="Normal"/>
    <w:link w:val="FooterChar"/>
    <w:uiPriority w:val="99"/>
    <w:unhideWhenUsed/>
    <w:rsid w:val="00B75FE3"/>
    <w:pPr>
      <w:tabs>
        <w:tab w:val="center" w:pos="4703"/>
        <w:tab w:val="right" w:pos="9406"/>
      </w:tabs>
      <w:spacing w:after="0" w:line="240" w:lineRule="auto"/>
    </w:pPr>
  </w:style>
  <w:style w:type="character" w:customStyle="1" w:styleId="FooterChar">
    <w:name w:val="Footer Char"/>
    <w:basedOn w:val="DefaultParagraphFont"/>
    <w:link w:val="Footer"/>
    <w:uiPriority w:val="99"/>
    <w:rsid w:val="00B75FE3"/>
  </w:style>
  <w:style w:type="character" w:styleId="Emphasis">
    <w:name w:val="Emphasis"/>
    <w:basedOn w:val="DefaultParagraphFont"/>
    <w:uiPriority w:val="20"/>
    <w:qFormat/>
    <w:rsid w:val="005B17E2"/>
    <w:rPr>
      <w:i/>
      <w:iCs/>
    </w:rPr>
  </w:style>
  <w:style w:type="paragraph" w:styleId="NormalWeb">
    <w:name w:val="Normal (Web)"/>
    <w:basedOn w:val="Normal"/>
    <w:uiPriority w:val="99"/>
    <w:semiHidden/>
    <w:unhideWhenUsed/>
    <w:rsid w:val="00411E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50200">
      <w:bodyDiv w:val="1"/>
      <w:marLeft w:val="0"/>
      <w:marRight w:val="0"/>
      <w:marTop w:val="0"/>
      <w:marBottom w:val="0"/>
      <w:divBdr>
        <w:top w:val="none" w:sz="0" w:space="0" w:color="auto"/>
        <w:left w:val="none" w:sz="0" w:space="0" w:color="auto"/>
        <w:bottom w:val="none" w:sz="0" w:space="0" w:color="auto"/>
        <w:right w:val="none" w:sz="0" w:space="0" w:color="auto"/>
      </w:divBdr>
    </w:div>
    <w:div w:id="603659165">
      <w:bodyDiv w:val="1"/>
      <w:marLeft w:val="0"/>
      <w:marRight w:val="0"/>
      <w:marTop w:val="0"/>
      <w:marBottom w:val="0"/>
      <w:divBdr>
        <w:top w:val="none" w:sz="0" w:space="0" w:color="auto"/>
        <w:left w:val="none" w:sz="0" w:space="0" w:color="auto"/>
        <w:bottom w:val="none" w:sz="0" w:space="0" w:color="auto"/>
        <w:right w:val="none" w:sz="0" w:space="0" w:color="auto"/>
      </w:divBdr>
    </w:div>
    <w:div w:id="658190569">
      <w:bodyDiv w:val="1"/>
      <w:marLeft w:val="0"/>
      <w:marRight w:val="0"/>
      <w:marTop w:val="0"/>
      <w:marBottom w:val="0"/>
      <w:divBdr>
        <w:top w:val="none" w:sz="0" w:space="0" w:color="auto"/>
        <w:left w:val="none" w:sz="0" w:space="0" w:color="auto"/>
        <w:bottom w:val="none" w:sz="0" w:space="0" w:color="auto"/>
        <w:right w:val="none" w:sz="0" w:space="0" w:color="auto"/>
      </w:divBdr>
    </w:div>
    <w:div w:id="684870527">
      <w:bodyDiv w:val="1"/>
      <w:marLeft w:val="0"/>
      <w:marRight w:val="0"/>
      <w:marTop w:val="0"/>
      <w:marBottom w:val="0"/>
      <w:divBdr>
        <w:top w:val="none" w:sz="0" w:space="0" w:color="auto"/>
        <w:left w:val="none" w:sz="0" w:space="0" w:color="auto"/>
        <w:bottom w:val="none" w:sz="0" w:space="0" w:color="auto"/>
        <w:right w:val="none" w:sz="0" w:space="0" w:color="auto"/>
      </w:divBdr>
    </w:div>
    <w:div w:id="688145364">
      <w:bodyDiv w:val="1"/>
      <w:marLeft w:val="0"/>
      <w:marRight w:val="0"/>
      <w:marTop w:val="0"/>
      <w:marBottom w:val="0"/>
      <w:divBdr>
        <w:top w:val="none" w:sz="0" w:space="0" w:color="auto"/>
        <w:left w:val="none" w:sz="0" w:space="0" w:color="auto"/>
        <w:bottom w:val="none" w:sz="0" w:space="0" w:color="auto"/>
        <w:right w:val="none" w:sz="0" w:space="0" w:color="auto"/>
      </w:divBdr>
    </w:div>
    <w:div w:id="724180200">
      <w:bodyDiv w:val="1"/>
      <w:marLeft w:val="0"/>
      <w:marRight w:val="0"/>
      <w:marTop w:val="0"/>
      <w:marBottom w:val="0"/>
      <w:divBdr>
        <w:top w:val="none" w:sz="0" w:space="0" w:color="auto"/>
        <w:left w:val="none" w:sz="0" w:space="0" w:color="auto"/>
        <w:bottom w:val="none" w:sz="0" w:space="0" w:color="auto"/>
        <w:right w:val="none" w:sz="0" w:space="0" w:color="auto"/>
      </w:divBdr>
    </w:div>
    <w:div w:id="727192225">
      <w:bodyDiv w:val="1"/>
      <w:marLeft w:val="0"/>
      <w:marRight w:val="0"/>
      <w:marTop w:val="0"/>
      <w:marBottom w:val="0"/>
      <w:divBdr>
        <w:top w:val="none" w:sz="0" w:space="0" w:color="auto"/>
        <w:left w:val="none" w:sz="0" w:space="0" w:color="auto"/>
        <w:bottom w:val="none" w:sz="0" w:space="0" w:color="auto"/>
        <w:right w:val="none" w:sz="0" w:space="0" w:color="auto"/>
      </w:divBdr>
    </w:div>
    <w:div w:id="766192453">
      <w:bodyDiv w:val="1"/>
      <w:marLeft w:val="0"/>
      <w:marRight w:val="0"/>
      <w:marTop w:val="0"/>
      <w:marBottom w:val="0"/>
      <w:divBdr>
        <w:top w:val="none" w:sz="0" w:space="0" w:color="auto"/>
        <w:left w:val="none" w:sz="0" w:space="0" w:color="auto"/>
        <w:bottom w:val="none" w:sz="0" w:space="0" w:color="auto"/>
        <w:right w:val="none" w:sz="0" w:space="0" w:color="auto"/>
      </w:divBdr>
    </w:div>
    <w:div w:id="893001388">
      <w:bodyDiv w:val="1"/>
      <w:marLeft w:val="0"/>
      <w:marRight w:val="0"/>
      <w:marTop w:val="0"/>
      <w:marBottom w:val="0"/>
      <w:divBdr>
        <w:top w:val="none" w:sz="0" w:space="0" w:color="auto"/>
        <w:left w:val="none" w:sz="0" w:space="0" w:color="auto"/>
        <w:bottom w:val="none" w:sz="0" w:space="0" w:color="auto"/>
        <w:right w:val="none" w:sz="0" w:space="0" w:color="auto"/>
      </w:divBdr>
    </w:div>
    <w:div w:id="1027760227">
      <w:bodyDiv w:val="1"/>
      <w:marLeft w:val="0"/>
      <w:marRight w:val="0"/>
      <w:marTop w:val="0"/>
      <w:marBottom w:val="0"/>
      <w:divBdr>
        <w:top w:val="none" w:sz="0" w:space="0" w:color="auto"/>
        <w:left w:val="none" w:sz="0" w:space="0" w:color="auto"/>
        <w:bottom w:val="none" w:sz="0" w:space="0" w:color="auto"/>
        <w:right w:val="none" w:sz="0" w:space="0" w:color="auto"/>
      </w:divBdr>
    </w:div>
    <w:div w:id="1217663128">
      <w:bodyDiv w:val="1"/>
      <w:marLeft w:val="0"/>
      <w:marRight w:val="0"/>
      <w:marTop w:val="0"/>
      <w:marBottom w:val="0"/>
      <w:divBdr>
        <w:top w:val="none" w:sz="0" w:space="0" w:color="auto"/>
        <w:left w:val="none" w:sz="0" w:space="0" w:color="auto"/>
        <w:bottom w:val="none" w:sz="0" w:space="0" w:color="auto"/>
        <w:right w:val="none" w:sz="0" w:space="0" w:color="auto"/>
      </w:divBdr>
    </w:div>
    <w:div w:id="1280261260">
      <w:bodyDiv w:val="1"/>
      <w:marLeft w:val="0"/>
      <w:marRight w:val="0"/>
      <w:marTop w:val="0"/>
      <w:marBottom w:val="0"/>
      <w:divBdr>
        <w:top w:val="none" w:sz="0" w:space="0" w:color="auto"/>
        <w:left w:val="none" w:sz="0" w:space="0" w:color="auto"/>
        <w:bottom w:val="none" w:sz="0" w:space="0" w:color="auto"/>
        <w:right w:val="none" w:sz="0" w:space="0" w:color="auto"/>
      </w:divBdr>
      <w:divsChild>
        <w:div w:id="1209996318">
          <w:marLeft w:val="0"/>
          <w:marRight w:val="0"/>
          <w:marTop w:val="0"/>
          <w:marBottom w:val="0"/>
          <w:divBdr>
            <w:top w:val="none" w:sz="0" w:space="0" w:color="auto"/>
            <w:left w:val="none" w:sz="0" w:space="0" w:color="auto"/>
            <w:bottom w:val="none" w:sz="0" w:space="0" w:color="auto"/>
            <w:right w:val="none" w:sz="0" w:space="0" w:color="auto"/>
          </w:divBdr>
        </w:div>
      </w:divsChild>
    </w:div>
    <w:div w:id="1484468947">
      <w:bodyDiv w:val="1"/>
      <w:marLeft w:val="0"/>
      <w:marRight w:val="0"/>
      <w:marTop w:val="0"/>
      <w:marBottom w:val="0"/>
      <w:divBdr>
        <w:top w:val="none" w:sz="0" w:space="0" w:color="auto"/>
        <w:left w:val="none" w:sz="0" w:space="0" w:color="auto"/>
        <w:bottom w:val="none" w:sz="0" w:space="0" w:color="auto"/>
        <w:right w:val="none" w:sz="0" w:space="0" w:color="auto"/>
      </w:divBdr>
    </w:div>
    <w:div w:id="1558204812">
      <w:bodyDiv w:val="1"/>
      <w:marLeft w:val="0"/>
      <w:marRight w:val="0"/>
      <w:marTop w:val="0"/>
      <w:marBottom w:val="0"/>
      <w:divBdr>
        <w:top w:val="none" w:sz="0" w:space="0" w:color="auto"/>
        <w:left w:val="none" w:sz="0" w:space="0" w:color="auto"/>
        <w:bottom w:val="none" w:sz="0" w:space="0" w:color="auto"/>
        <w:right w:val="none" w:sz="0" w:space="0" w:color="auto"/>
      </w:divBdr>
    </w:div>
    <w:div w:id="1672830365">
      <w:bodyDiv w:val="1"/>
      <w:marLeft w:val="0"/>
      <w:marRight w:val="0"/>
      <w:marTop w:val="0"/>
      <w:marBottom w:val="0"/>
      <w:divBdr>
        <w:top w:val="none" w:sz="0" w:space="0" w:color="auto"/>
        <w:left w:val="none" w:sz="0" w:space="0" w:color="auto"/>
        <w:bottom w:val="none" w:sz="0" w:space="0" w:color="auto"/>
        <w:right w:val="none" w:sz="0" w:space="0" w:color="auto"/>
      </w:divBdr>
    </w:div>
    <w:div w:id="1971471459">
      <w:bodyDiv w:val="1"/>
      <w:marLeft w:val="0"/>
      <w:marRight w:val="0"/>
      <w:marTop w:val="0"/>
      <w:marBottom w:val="0"/>
      <w:divBdr>
        <w:top w:val="none" w:sz="0" w:space="0" w:color="auto"/>
        <w:left w:val="none" w:sz="0" w:space="0" w:color="auto"/>
        <w:bottom w:val="none" w:sz="0" w:space="0" w:color="auto"/>
        <w:right w:val="none" w:sz="0" w:space="0" w:color="auto"/>
      </w:divBdr>
    </w:div>
    <w:div w:id="1981762175">
      <w:bodyDiv w:val="1"/>
      <w:marLeft w:val="0"/>
      <w:marRight w:val="0"/>
      <w:marTop w:val="0"/>
      <w:marBottom w:val="0"/>
      <w:divBdr>
        <w:top w:val="none" w:sz="0" w:space="0" w:color="auto"/>
        <w:left w:val="none" w:sz="0" w:space="0" w:color="auto"/>
        <w:bottom w:val="none" w:sz="0" w:space="0" w:color="auto"/>
        <w:right w:val="none" w:sz="0" w:space="0" w:color="auto"/>
      </w:divBdr>
    </w:div>
    <w:div w:id="205410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Financial%20Analysi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Apple's</a:t>
            </a:r>
            <a:r>
              <a:rPr lang="en-US" baseline="0"/>
              <a:t> ROE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'APL ROE'!$A$2</c:f>
              <c:strCache>
                <c:ptCount val="1"/>
                <c:pt idx="0">
                  <c:v>ROE</c:v>
                </c:pt>
              </c:strCache>
            </c:strRef>
          </c:tx>
          <c:spPr>
            <a:ln w="28575" cap="rnd">
              <a:solidFill>
                <a:schemeClr val="accent1"/>
              </a:solidFill>
              <a:round/>
            </a:ln>
            <a:effectLst/>
          </c:spPr>
          <c:marker>
            <c:symbol val="none"/>
          </c:marker>
          <c:cat>
            <c:numRef>
              <c:f>'APL ROE'!$B$1:$F$1</c:f>
              <c:numCache>
                <c:formatCode>General</c:formatCode>
                <c:ptCount val="5"/>
                <c:pt idx="0">
                  <c:v>2022</c:v>
                </c:pt>
                <c:pt idx="1">
                  <c:v>2021</c:v>
                </c:pt>
                <c:pt idx="2">
                  <c:v>2020</c:v>
                </c:pt>
                <c:pt idx="3">
                  <c:v>2019</c:v>
                </c:pt>
                <c:pt idx="4">
                  <c:v>2018</c:v>
                </c:pt>
              </c:numCache>
            </c:numRef>
          </c:cat>
          <c:val>
            <c:numRef>
              <c:f>'APL ROE'!$B$2:$F$2</c:f>
              <c:numCache>
                <c:formatCode>General</c:formatCode>
                <c:ptCount val="5"/>
                <c:pt idx="0">
                  <c:v>1.9695</c:v>
                </c:pt>
                <c:pt idx="1">
                  <c:v>1.5006999999999999</c:v>
                </c:pt>
                <c:pt idx="2">
                  <c:v>0.87870000000000004</c:v>
                </c:pt>
                <c:pt idx="3">
                  <c:v>0.51570000000000005</c:v>
                </c:pt>
                <c:pt idx="4">
                  <c:v>0.44440000000000002</c:v>
                </c:pt>
              </c:numCache>
            </c:numRef>
          </c:val>
          <c:smooth val="0"/>
          <c:extLst>
            <c:ext xmlns:c16="http://schemas.microsoft.com/office/drawing/2014/chart" uri="{C3380CC4-5D6E-409C-BE32-E72D297353CC}">
              <c16:uniqueId val="{00000000-476A-437C-BDEC-A5D201418204}"/>
            </c:ext>
          </c:extLst>
        </c:ser>
        <c:dLbls>
          <c:showLegendKey val="0"/>
          <c:showVal val="0"/>
          <c:showCatName val="0"/>
          <c:showSerName val="0"/>
          <c:showPercent val="0"/>
          <c:showBubbleSize val="0"/>
        </c:dLbls>
        <c:smooth val="0"/>
        <c:axId val="783439023"/>
        <c:axId val="783445679"/>
      </c:lineChart>
      <c:catAx>
        <c:axId val="783439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445679"/>
        <c:crosses val="autoZero"/>
        <c:auto val="1"/>
        <c:lblAlgn val="ctr"/>
        <c:lblOffset val="100"/>
        <c:noMultiLvlLbl val="0"/>
      </c:catAx>
      <c:valAx>
        <c:axId val="78344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4390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'APL ROE'!$A$23</c:f>
              <c:strCache>
                <c:ptCount val="1"/>
                <c:pt idx="0">
                  <c:v>ROE</c:v>
                </c:pt>
              </c:strCache>
            </c:strRef>
          </c:tx>
          <c:spPr>
            <a:ln w="28575" cap="rnd">
              <a:solidFill>
                <a:schemeClr val="accent1"/>
              </a:solidFill>
              <a:round/>
            </a:ln>
            <a:effectLst/>
          </c:spPr>
          <c:marker>
            <c:symbol val="none"/>
          </c:marker>
          <c:cat>
            <c:strRef>
              <c:f>'APL ROE'!$B$21:$F$22</c:f>
              <c:strCache>
                <c:ptCount val="5"/>
                <c:pt idx="0">
                  <c:v>2022</c:v>
                </c:pt>
                <c:pt idx="1">
                  <c:v>2021</c:v>
                </c:pt>
                <c:pt idx="2">
                  <c:v>2020</c:v>
                </c:pt>
                <c:pt idx="3">
                  <c:v>2019</c:v>
                </c:pt>
                <c:pt idx="4">
                  <c:v>2018</c:v>
                </c:pt>
              </c:strCache>
            </c:strRef>
          </c:cat>
          <c:val>
            <c:numRef>
              <c:f>'APL ROE'!$B$23:$F$23</c:f>
              <c:numCache>
                <c:formatCode>General</c:formatCode>
                <c:ptCount val="5"/>
                <c:pt idx="0">
                  <c:v>0.32535936880786831</c:v>
                </c:pt>
                <c:pt idx="1">
                  <c:v>0.31270248189987887</c:v>
                </c:pt>
                <c:pt idx="2">
                  <c:v>0.24342372193670545</c:v>
                </c:pt>
                <c:pt idx="3">
                  <c:v>0.24849995113847356</c:v>
                </c:pt>
                <c:pt idx="4">
                  <c:v>4.6809642399477741E-2</c:v>
                </c:pt>
              </c:numCache>
            </c:numRef>
          </c:val>
          <c:smooth val="0"/>
          <c:extLst>
            <c:ext xmlns:c16="http://schemas.microsoft.com/office/drawing/2014/chart" uri="{C3380CC4-5D6E-409C-BE32-E72D297353CC}">
              <c16:uniqueId val="{00000000-AFD2-41DF-ACDD-DB62288C088D}"/>
            </c:ext>
          </c:extLst>
        </c:ser>
        <c:dLbls>
          <c:showLegendKey val="0"/>
          <c:showVal val="0"/>
          <c:showCatName val="0"/>
          <c:showSerName val="0"/>
          <c:showPercent val="0"/>
          <c:showBubbleSize val="0"/>
        </c:dLbls>
        <c:smooth val="0"/>
        <c:axId val="628790367"/>
        <c:axId val="628787871"/>
      </c:lineChart>
      <c:catAx>
        <c:axId val="628790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787871"/>
        <c:crosses val="autoZero"/>
        <c:auto val="1"/>
        <c:lblAlgn val="ctr"/>
        <c:lblOffset val="100"/>
        <c:noMultiLvlLbl val="0"/>
      </c:catAx>
      <c:valAx>
        <c:axId val="628787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7903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4692</Words>
  <Characters>26745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2023-10-13T04:43:00Z</dcterms:created>
  <dcterms:modified xsi:type="dcterms:W3CDTF">2023-10-13T04:43:00Z</dcterms:modified>
</cp:coreProperties>
</file>