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What is Traceability?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Aviation traceability paperwork refers to the documentation that ensures the history, location, and maintenance of various components, systems, and equipment used in aviation. It is a critical part of aviation safety and compliance, as it ensures that every part of an aircraft, from engines to spare parts, is traceable throughout its life cycle. This paperwork is necessary for regulatory compliance, maintenance tracking, and the validation of the aircraft’s airworthiness.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Reading aviation traceability paperwork requires attention to detail and understanding how parts, maintenance actions, and regulatory standards work together. By focusing on part numbers, serial numbers, inspection and maintenance history, certifications, and compliance with regulations, you can ensure that all components of the aircraft are traceable, safe, and airworthy.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Every part or component used in an aircraft must be traceable back to its origin, or a regulated source, including:</w:t>
      </w:r>
    </w:p>
    <w:p w:rsidR="00000000" w:rsidDel="00000000" w:rsidP="00000000" w:rsidRDefault="00000000" w:rsidRPr="00000000" w14:paraId="00000008">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Manufacturing Details: The paperwork should include the manufacturer's name, address, and part number.</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Serial Numbers: Parts are often assigned serial numbers for tracking and identifying purposes.</w:t>
      </w:r>
    </w:p>
    <w:p w:rsidR="00000000" w:rsidDel="00000000" w:rsidP="00000000" w:rsidRDefault="00000000" w:rsidRPr="00000000" w14:paraId="0000000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Certificates of Conformity: These documents confirm that parts meet specific standards or specifications required for their use in aviation.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color w:val="000000"/>
          <w:sz w:val="24"/>
          <w:szCs w:val="24"/>
        </w:rPr>
      </w:pPr>
      <w:bookmarkStart w:colFirst="0" w:colLast="0" w:name="_3i1zdcngenzz" w:id="0"/>
      <w:bookmarkEnd w:id="0"/>
      <w:r w:rsidDel="00000000" w:rsidR="00000000" w:rsidRPr="00000000">
        <w:rPr>
          <w:color w:val="000000"/>
          <w:sz w:val="24"/>
          <w:szCs w:val="24"/>
          <w:rtl w:val="0"/>
        </w:rPr>
        <w:t xml:space="preserve">Importance of Traceability Paperwork:</w:t>
      </w:r>
    </w:p>
    <w:p w:rsidR="00000000" w:rsidDel="00000000" w:rsidP="00000000" w:rsidRDefault="00000000" w:rsidRPr="00000000" w14:paraId="0000000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Safety: Ensures that only parts that are safe and fully certified are used in aviation operations.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Regulatory Compliance: Helps aviation operators comply with industry regulations set by authorities such as the FAA, EASA, and ICAO.</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Maintenance Management: Provides a historical record of maintenance and repairs, which is essential for effective maintenance scheduling, managing part lifecycles, and identifying potential issues.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Accountability: Helps track responsibility for parts and maintenance actions, making it clear who is accountable for each component or process.</w:t>
      </w:r>
    </w:p>
    <w:p w:rsidR="00000000" w:rsidDel="00000000" w:rsidP="00000000" w:rsidRDefault="00000000" w:rsidRPr="00000000" w14:paraId="0000001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Resale and Repairs: When aircraft or parts are sold or transferred, traceability ensures that the buyer has full knowledge of the condition, history, and certification status of the components.</w:t>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https://www.aviationsuppliers.org/asa/files/cclibraryfiles/filename/000000005473/2024-12-03%20Documentation%20rev%201.pdf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