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ПАРАМЕТРИЧЕСКАЯ ПЕРЕФОРМУЛИРОВКА ЦВЕТОВОГО СТРУКТУРНОГО ТЕНЗОРА ЧЕРЕЗ МОДЕЛЬ ВИРТУАЛЬНОГО ОСВЕЩЕНИЯ: ЭКВИВАЛЕНТНОСТЬ И ПРЕДЕЛЫ МУЛЬТИПЛИКАТИВНОГО ОБОБЩЕНИЯ НА ИЗОБРАЖЕНИЯ С КАНАЛОМ ГЛУБИНЫ</w:t>
      </w:r>
    </w:p>
    <w:p>
      <w:pPr>
        <w:jc w:val="center"/>
      </w:pPr>
      <w:r>
        <w:rPr>
          <w:b w:val="0"/>
          <w:i w:val="0"/>
        </w:rPr>
        <w:t>А. А. Панченко  (A. A. Panchenko)</w:t>
      </w:r>
    </w:p>
    <w:p>
      <w:pPr>
        <w:jc w:val="center"/>
      </w:pPr>
      <w:r>
        <w:rPr>
          <w:b w:val="0"/>
          <w:i w:val="0"/>
        </w:rPr>
        <w:t>Уфимский университет науки и технологий, ул. Заки Валиди, д. 32, Уфа, 450076 Россия</w:t>
      </w:r>
    </w:p>
    <w:p>
      <w:pPr>
        <w:jc w:val="center"/>
      </w:pPr>
      <w:r>
        <w:rPr>
          <w:b w:val="0"/>
          <w:i/>
        </w:rPr>
        <w:t>e-mail: (указать при подаче)</w:t>
      </w:r>
    </w:p>
    <w:p/>
    <w:p>
      <w:pPr>
        <w:spacing w:before="240"/>
        <w:jc w:val="center"/>
      </w:pPr>
      <w:r>
        <w:rPr>
          <w:b/>
        </w:rPr>
        <w:t>АННОТАЦИЯ</w:t>
      </w:r>
    </w:p>
    <w:p>
      <w:pPr>
        <w:ind w:firstLine="709"/>
        <w:jc w:val="both"/>
      </w:pPr>
      <w:r>
        <w:rPr>
          <w:i w:val="0"/>
        </w:rPr>
        <w:t>Выделение границ на цветных изображениях, чувствительное к изолюминантным переходам, классически решается многоканальным структурным тензором Ди Дзензо. В работе анализируется оператор «виртуального освещения», моделирующий цветовые каналы изображения как скалярные поверхности, освещаемые с нескольких виртуальных направлений. Показано, что данный оператор не является самостоятельным: при отключённой канально-асимметричной модуляции его усреднённый по направлениям отклик есть строго монотонная функция корня из наибольшего собственного значения тензора Ди Дзензо, вследствие чего пороговые бинаризованные карты границ обоих методов совпадают (ранговая корреляция Спирмена ρ ≈ 0,99 на естественных изображениях и 1,00 на синтетических границах). Охарактеризован единственный алгебраически отличный элемент метода — мультипликативный «высотный» член: доказано, что он структурно неспособен обнаруживать границы, определяемые только модулирующим каналом, что закрывает расширение на изображения с каналом глубины в рассматриваемом классе операторов. Вклад работы — явная связь между интуитивной физической моделью и установившимся тензорным формализмом, классификация допустимых обобщений и открытый воспроизводимый набор эталонных сравнений семи детекторов границ.</w:t>
      </w:r>
    </w:p>
    <w:p>
      <w:pPr>
        <w:jc w:val="both"/>
      </w:pPr>
      <w:r>
        <w:rPr>
          <w:i w:val="0"/>
        </w:rPr>
        <w:t>Ключевые слова: выделение границ, цветные изображения, структурный тензор, градиент Ди Дзензо, изолюминантные границы, канал глубины, виртуальное освещение</w:t>
      </w:r>
    </w:p>
    <w:p>
      <w:pPr>
        <w:spacing w:before="240"/>
        <w:jc w:val="center"/>
      </w:pPr>
      <w:r>
        <w:rPr>
          <w:b/>
        </w:rPr>
        <w:t>1. ВВЕДЕНИЕ</w:t>
      </w:r>
    </w:p>
    <w:p>
      <w:pPr>
        <w:ind w:firstLine="709"/>
        <w:jc w:val="both"/>
      </w:pPr>
      <w:r>
        <w:rPr>
          <w:i w:val="0"/>
        </w:rPr>
        <w:t>Классические операторы выделения границ — Собеля, Превитта, Кэнни [2] — работают с полутоновым представлением изображения и по построению не реагируют на изолюминантные границы: переходы между областями разного цвета, но одинаковой яркости. Систематическое решение этой проблемы известно с работы Ди Дзензо [4], предложившего рассматривать градиент многоканального изображения — например, заданного в цветовом пространстве «красный–зелёный–синий» (RGB) — через структурный тензор, сумму внешних произведений поканальных градиентов, и принимать за силу границы корень из его наибольшего собственного значения.</w:t>
      </w:r>
    </w:p>
    <w:p>
      <w:pPr>
        <w:ind w:firstLine="709"/>
        <w:jc w:val="both"/>
      </w:pPr>
      <w:r>
        <w:rPr>
          <w:i w:val="0"/>
        </w:rPr>
        <w:t>Наряду с тензорным формализмом существует интуитивно привлекательная физическая модель: каналы изображения трактуются как скалярные «поверхности высот», которые освещаются виртуальными источниками с нескольких направлений; отклик на границу накапливается по направлениям освещения. Такая модель естественна для физической интуиции и допускает прямые обобщения: выбор набора направлений, их количества, весов, а также асимметричную модуляцию отклика третьим каналом. Оператор этого типа был предложен и реализован автором независимо от тензорного формализма [5].</w:t>
      </w:r>
    </w:p>
    <w:p>
      <w:pPr>
        <w:ind w:firstLine="709"/>
        <w:jc w:val="both"/>
      </w:pPr>
      <w:r>
        <w:rPr>
          <w:i w:val="0"/>
        </w:rPr>
        <w:t>Настоящая работа отвечает на точный вопрос: является ли оператор виртуального освещения новым оператором или переформулировкой существующего? Ответ нетривиален: эквивалентность не видна из сравнения формул, поскольку структурный тензор в модели виртуального освещения никогда не собирается явно — он присутствует лишь неявно, в виде суммы внешних произведений внутри скалярного выражения. Мы устанавливаем эквивалентность строго, характеризуем единственный алгебраически отличный элемент модели и доказываем предел его применимости, в том числе для данных с каналом глубины (RGB-D). Независимые повторные выводы известных результатов — обычное явление в науке; их научная ценность возникает тогда, когда точное отношение к первоисточнику установлено, а границы новых степеней свободы охарактеризованы. Именно это и составляет предмет данной статьи.</w:t>
      </w:r>
    </w:p>
    <w:p>
      <w:pPr>
        <w:ind w:firstLine="709"/>
        <w:jc w:val="both"/>
      </w:pPr>
      <w:r>
        <w:rPr>
          <w:i w:val="0"/>
        </w:rPr>
        <w:t>Вклад работы состоит в следующем.</w:t>
      </w:r>
    </w:p>
    <w:p>
      <w:pPr>
        <w:ind w:firstLine="709"/>
        <w:jc w:val="both"/>
      </w:pPr>
      <w:r>
        <w:rPr>
          <w:i w:val="0"/>
        </w:rPr>
        <w:t>1. Параметрическая переформулировка цветового структурного тензора, в которой направления «освещения», их число и канально-асимметричная модуляция выступают как явные, независимо управляемые степени свободы (разд. 3).</w:t>
      </w:r>
    </w:p>
    <w:p>
      <w:pPr>
        <w:ind w:firstLine="709"/>
        <w:jc w:val="both"/>
      </w:pPr>
      <w:r>
        <w:rPr>
          <w:i w:val="0"/>
        </w:rPr>
        <w:t>2. Теорема об эквивалентности: при отключённой модуляции оператор сводится к магнитуде Ди Дзензо с точностью до строго монотонного преобразования, то есть даёт тождественные пороговые бинаризованные карты границ (разд. 4, теорема 1).</w:t>
      </w:r>
    </w:p>
    <w:p>
      <w:pPr>
        <w:ind w:firstLine="709"/>
        <w:jc w:val="both"/>
      </w:pPr>
      <w:r>
        <w:rPr>
          <w:i w:val="0"/>
        </w:rPr>
        <w:t>3. Теорема о структурном пределе мультипликативного расширения и вытекающая из неё классификация допустимых обобщений на данные с каналом глубины (разд. 5, теорема 2).</w:t>
      </w:r>
    </w:p>
    <w:p>
      <w:pPr>
        <w:ind w:firstLine="709"/>
        <w:jc w:val="both"/>
      </w:pPr>
      <w:r>
        <w:rPr>
          <w:i w:val="0"/>
        </w:rPr>
        <w:t>4. Открытый воспроизводимый набор эталонных сравнений (синтетические тесты, ориентационное исследование, коллекция BSDS500, контролируемый эксперимент с каналом глубины) с полным исходным кодом (разд. 6).</w:t>
      </w:r>
    </w:p>
    <w:p>
      <w:pPr>
        <w:spacing w:before="240"/>
        <w:jc w:val="center"/>
      </w:pPr>
      <w:r>
        <w:rPr>
          <w:b/>
        </w:rPr>
        <w:t>2. СТРУКТУРНЫЙ ТЕНЗОР ДИ ДЗЕНЗО</w:t>
      </w:r>
    </w:p>
    <w:p>
      <w:pPr>
        <w:ind w:firstLine="709"/>
        <w:jc w:val="both"/>
      </w:pPr>
      <w:r>
        <w:rPr>
          <w:i w:val="0"/>
        </w:rPr>
        <w:t>Для многоканального изображения с каналами C</w:t>
      </w:r>
      <w:r>
        <w:rPr>
          <w:i w:val="0"/>
          <w:vertAlign w:val="subscript"/>
        </w:rPr>
        <w:t>k</w:t>
      </w:r>
      <w:r>
        <w:rPr>
          <w:i w:val="0"/>
        </w:rPr>
        <w:t xml:space="preserve"> Ди Дзензо [4] определяет градиент через структурный тензор</w:t>
      </w:r>
    </w:p>
    <w:p>
      <w:pPr>
        <w:jc w:val="center"/>
      </w:pPr>
      <w:r>
        <w:drawing>
          <wp:inline xmlns:a="http://schemas.openxmlformats.org/drawingml/2006/main" xmlns:pic="http://schemas.openxmlformats.org/drawingml/2006/picture">
            <wp:extent cx="1745456" cy="254794"/>
            <wp:docPr id="1" name="Picture 1"/>
            <wp:cNvGraphicFramePr>
              <a:graphicFrameLocks noChangeAspect="1"/>
            </wp:cNvGraphicFramePr>
            <a:graphic>
              <a:graphicData uri="http://schemas.openxmlformats.org/drawingml/2006/picture">
                <pic:pic>
                  <pic:nvPicPr>
                    <pic:cNvPr id="0" name="tensor.png"/>
                    <pic:cNvPicPr/>
                  </pic:nvPicPr>
                  <pic:blipFill>
                    <a:blip r:embed="rId9"/>
                    <a:stretch>
                      <a:fillRect/>
                    </a:stretch>
                  </pic:blipFill>
                  <pic:spPr>
                    <a:xfrm>
                      <a:off x="0" y="0"/>
                      <a:ext cx="1745456" cy="254794"/>
                    </a:xfrm>
                    <a:prstGeom prst="rect"/>
                  </pic:spPr>
                </pic:pic>
              </a:graphicData>
            </a:graphic>
          </wp:inline>
        </w:drawing>
      </w:r>
      <w:r>
        <w:t xml:space="preserve">    (1)</w:t>
      </w:r>
    </w:p>
    <w:p>
      <w:pPr>
        <w:jc w:val="both"/>
      </w:pPr>
      <w:r>
        <w:rPr>
          <w:i w:val="0"/>
        </w:rPr>
        <w:t>с компонентами</w:t>
      </w:r>
    </w:p>
    <w:p>
      <w:pPr>
        <w:jc w:val="center"/>
      </w:pPr>
      <w:r>
        <w:drawing>
          <wp:inline xmlns:a="http://schemas.openxmlformats.org/drawingml/2006/main" xmlns:pic="http://schemas.openxmlformats.org/drawingml/2006/picture">
            <wp:extent cx="3302793" cy="211931"/>
            <wp:docPr id="2" name="Picture 2"/>
            <wp:cNvGraphicFramePr>
              <a:graphicFrameLocks noChangeAspect="1"/>
            </wp:cNvGraphicFramePr>
            <a:graphic>
              <a:graphicData uri="http://schemas.openxmlformats.org/drawingml/2006/picture">
                <pic:pic>
                  <pic:nvPicPr>
                    <pic:cNvPr id="0" name="tensor2.png"/>
                    <pic:cNvPicPr/>
                  </pic:nvPicPr>
                  <pic:blipFill>
                    <a:blip r:embed="rId10"/>
                    <a:stretch>
                      <a:fillRect/>
                    </a:stretch>
                  </pic:blipFill>
                  <pic:spPr>
                    <a:xfrm>
                      <a:off x="0" y="0"/>
                      <a:ext cx="3302793" cy="211931"/>
                    </a:xfrm>
                    <a:prstGeom prst="rect"/>
                  </pic:spPr>
                </pic:pic>
              </a:graphicData>
            </a:graphic>
          </wp:inline>
        </w:drawing>
      </w:r>
    </w:p>
    <w:p>
      <w:pPr>
        <w:jc w:val="both"/>
      </w:pPr>
      <w:r>
        <w:rPr>
          <w:i w:val="0"/>
        </w:rPr>
        <w:t>принимая за магнитуду границы величину √λ</w:t>
      </w:r>
      <w:r>
        <w:rPr>
          <w:i w:val="0"/>
          <w:vertAlign w:val="subscript"/>
        </w:rPr>
        <w:t>max</w:t>
      </w:r>
      <w:r>
        <w:rPr>
          <w:i w:val="0"/>
        </w:rPr>
        <w:t>(M), где λ</w:t>
      </w:r>
      <w:r>
        <w:rPr>
          <w:i w:val="0"/>
          <w:vertAlign w:val="subscript"/>
        </w:rPr>
        <w:t>max</w:t>
      </w:r>
      <w:r>
        <w:rPr>
          <w:i w:val="0"/>
        </w:rPr>
        <w:t xml:space="preserve"> ≥ λ</w:t>
      </w:r>
      <w:r>
        <w:rPr>
          <w:i w:val="0"/>
          <w:vertAlign w:val="subscript"/>
        </w:rPr>
        <w:t>min</w:t>
      </w:r>
      <w:r>
        <w:rPr>
          <w:i w:val="0"/>
        </w:rPr>
        <w:t xml:space="preserve"> ≥ 0 — собственные значения M. Наибольшее собственное значение отражает максимальное направленное изменение всех каналов совместно, поэтому хроматические границы без яркостного перепада обнаруживаются наравне с яркостными. Развитие подхода включает многоспектральные операторы второго порядка Кумани [3], анизотропную диффузию векторнозначных изображений Сапиро и Рингача [7] и фотометрически инвариантный цветовой тензор ван де Вейера и др. [9]. Геометрическую трактовку изображения как многообразия, родственную используемой ниже «поверхностной» интуиции, развивает подход Бельтрами [8].</w:t>
      </w:r>
    </w:p>
    <w:p>
      <w:pPr>
        <w:spacing w:before="240"/>
        <w:jc w:val="center"/>
      </w:pPr>
      <w:r>
        <w:rPr>
          <w:b/>
        </w:rPr>
        <w:t>3. ОПЕРАТОР ВИРТУАЛЬНОГО ОСВЕЩЕНИЯ КАК ПАРАМЕТРИЧЕСКАЯ ДЕКОМПОЗИЦИЯ</w:t>
      </w:r>
    </w:p>
    <w:p>
      <w:pPr>
        <w:ind w:firstLine="709"/>
        <w:jc w:val="both"/>
      </w:pPr>
      <w:r>
        <w:rPr>
          <w:i w:val="0"/>
        </w:rPr>
        <w:t>Рассмотрим цветовые каналы как три скалярные поверхности. Для упорядоченной тройки каналов (X, Y, Z) и единичного направления «освещения» L = (d</w:t>
      </w:r>
      <w:r>
        <w:rPr>
          <w:i w:val="0"/>
          <w:vertAlign w:val="subscript"/>
        </w:rPr>
        <w:t>x</w:t>
      </w:r>
      <w:r>
        <w:rPr>
          <w:i w:val="0"/>
        </w:rPr>
        <w:t>, d</w:t>
      </w:r>
      <w:r>
        <w:rPr>
          <w:i w:val="0"/>
          <w:vertAlign w:val="subscript"/>
        </w:rPr>
        <w:t>y</w:t>
      </w:r>
      <w:r>
        <w:rPr>
          <w:i w:val="0"/>
        </w:rPr>
        <w:t>)</w:t>
      </w:r>
      <w:r>
        <w:rPr>
          <w:i w:val="0"/>
          <w:vertAlign w:val="superscript"/>
        </w:rPr>
        <w:t>T</w:t>
      </w:r>
      <w:r>
        <w:rPr>
          <w:i w:val="0"/>
        </w:rPr>
        <w:t xml:space="preserve"> оператор формирует отклик по направлению</w:t>
      </w:r>
    </w:p>
    <w:p>
      <w:pPr>
        <w:jc w:val="center"/>
      </w:pPr>
      <w:r>
        <w:drawing>
          <wp:inline xmlns:a="http://schemas.openxmlformats.org/drawingml/2006/main" xmlns:pic="http://schemas.openxmlformats.org/drawingml/2006/picture">
            <wp:extent cx="2438400" cy="214312"/>
            <wp:docPr id="3" name="Picture 3"/>
            <wp:cNvGraphicFramePr>
              <a:graphicFrameLocks noChangeAspect="1"/>
            </wp:cNvGraphicFramePr>
            <a:graphic>
              <a:graphicData uri="http://schemas.openxmlformats.org/drawingml/2006/picture">
                <pic:pic>
                  <pic:nvPicPr>
                    <pic:cNvPr id="0" name="response.png"/>
                    <pic:cNvPicPr/>
                  </pic:nvPicPr>
                  <pic:blipFill>
                    <a:blip r:embed="rId11"/>
                    <a:stretch>
                      <a:fillRect/>
                    </a:stretch>
                  </pic:blipFill>
                  <pic:spPr>
                    <a:xfrm>
                      <a:off x="0" y="0"/>
                      <a:ext cx="2438400" cy="214312"/>
                    </a:xfrm>
                    <a:prstGeom prst="rect"/>
                  </pic:spPr>
                </pic:pic>
              </a:graphicData>
            </a:graphic>
          </wp:inline>
        </w:drawing>
      </w:r>
      <w:r>
        <w:t xml:space="preserve">    (2)</w:t>
      </w:r>
    </w:p>
    <w:p>
      <w:pPr>
        <w:jc w:val="both"/>
      </w:pPr>
      <w:r>
        <w:rPr>
          <w:i w:val="0"/>
        </w:rPr>
        <w:t>где T — глобальный порог (75-й процентиль распределения интенсивностей), а α управляет канально-асимметричной «высотной» модуляцией h(C</w:t>
      </w:r>
      <w:r>
        <w:rPr>
          <w:i w:val="0"/>
          <w:vertAlign w:val="subscript"/>
        </w:rPr>
        <w:t>Z</w:t>
      </w:r>
      <w:r>
        <w:rPr>
          <w:i w:val="0"/>
        </w:rPr>
        <w:t>); при α = 0 имеем h ≡ 1. Отклик усредняется по набору из N направлений освещения и, опционально, вычисляется для всех перестановок каналов с последующим слиянием по максимуму.</w:t>
      </w:r>
    </w:p>
    <w:p>
      <w:pPr>
        <w:ind w:firstLine="709"/>
        <w:jc w:val="both"/>
      </w:pPr>
      <w:r>
        <w:rPr>
          <w:i w:val="0"/>
        </w:rPr>
        <w:t>Свободные параметры конструкции — набор направлений, их число N, модуляция h — образуют явные «рычаги управления». Основной результат следующего раздела состоит в том, что при α = 0 все эти степени свободы сворачиваются в один скаляр — наибольшее собственное значение тензора Ди Дзензо, — так что конструкция (2) есть параметрическая декомпозиция известного оператора, а не новый оператор.</w:t>
      </w:r>
    </w:p>
    <w:p>
      <w:pPr>
        <w:spacing w:before="240"/>
        <w:jc w:val="center"/>
      </w:pPr>
      <w:r>
        <w:rPr>
          <w:b/>
        </w:rPr>
        <w:t>4. ЭКВИВАЛЕНТНОСТЬ ТЕНЗОРУ ДИ ДЗЕНЗО</w:t>
      </w:r>
    </w:p>
    <w:p>
      <w:pPr>
        <w:ind w:firstLine="709"/>
        <w:jc w:val="both"/>
      </w:pPr>
      <w:r>
        <w:rPr>
          <w:i w:val="0"/>
        </w:rPr>
        <w:t>Сведение опирается на одно тождество: для любого вектора u и единичного L</w:t>
      </w:r>
    </w:p>
    <w:p>
      <w:pPr>
        <w:jc w:val="center"/>
      </w:pPr>
      <w:r>
        <w:drawing>
          <wp:inline xmlns:a="http://schemas.openxmlformats.org/drawingml/2006/main" xmlns:pic="http://schemas.openxmlformats.org/drawingml/2006/picture">
            <wp:extent cx="1140618" cy="164306"/>
            <wp:docPr id="4" name="Picture 4"/>
            <wp:cNvGraphicFramePr>
              <a:graphicFrameLocks noChangeAspect="1"/>
            </wp:cNvGraphicFramePr>
            <a:graphic>
              <a:graphicData uri="http://schemas.openxmlformats.org/drawingml/2006/picture">
                <pic:pic>
                  <pic:nvPicPr>
                    <pic:cNvPr id="0" name="identity.png"/>
                    <pic:cNvPicPr/>
                  </pic:nvPicPr>
                  <pic:blipFill>
                    <a:blip r:embed="rId12"/>
                    <a:stretch>
                      <a:fillRect/>
                    </a:stretch>
                  </pic:blipFill>
                  <pic:spPr>
                    <a:xfrm>
                      <a:off x="0" y="0"/>
                      <a:ext cx="1140618" cy="164306"/>
                    </a:xfrm>
                    <a:prstGeom prst="rect"/>
                  </pic:spPr>
                </pic:pic>
              </a:graphicData>
            </a:graphic>
          </wp:inline>
        </w:drawing>
      </w:r>
      <w:r>
        <w:t xml:space="preserve">    (3)</w:t>
      </w:r>
    </w:p>
    <w:p>
      <w:pPr>
        <w:jc w:val="both"/>
      </w:pPr>
      <w:r>
        <w:rPr>
          <w:i w:val="0"/>
        </w:rPr>
        <w:t>Суммируя (3) по двум градиентным каналам при α = 0, получаем</w:t>
      </w:r>
    </w:p>
    <w:p>
      <w:pPr>
        <w:jc w:val="center"/>
      </w:pPr>
      <w:r>
        <w:drawing>
          <wp:inline xmlns:a="http://schemas.openxmlformats.org/drawingml/2006/main" xmlns:pic="http://schemas.openxmlformats.org/drawingml/2006/picture">
            <wp:extent cx="1845468" cy="166687"/>
            <wp:docPr id="5" name="Picture 5"/>
            <wp:cNvGraphicFramePr>
              <a:graphicFrameLocks noChangeAspect="1"/>
            </wp:cNvGraphicFramePr>
            <a:graphic>
              <a:graphicData uri="http://schemas.openxmlformats.org/drawingml/2006/picture">
                <pic:pic>
                  <pic:nvPicPr>
                    <pic:cNvPr id="0" name="quadform.png"/>
                    <pic:cNvPicPr/>
                  </pic:nvPicPr>
                  <pic:blipFill>
                    <a:blip r:embed="rId13"/>
                    <a:stretch>
                      <a:fillRect/>
                    </a:stretch>
                  </pic:blipFill>
                  <pic:spPr>
                    <a:xfrm>
                      <a:off x="0" y="0"/>
                      <a:ext cx="1845468" cy="166687"/>
                    </a:xfrm>
                    <a:prstGeom prst="rect"/>
                  </pic:spPr>
                </pic:pic>
              </a:graphicData>
            </a:graphic>
          </wp:inline>
        </w:drawing>
      </w:r>
      <w:r>
        <w:t xml:space="preserve">    (4)</w:t>
      </w:r>
    </w:p>
    <w:p>
      <w:pPr>
        <w:jc w:val="both"/>
      </w:pPr>
      <w:r>
        <w:rPr>
          <w:i w:val="0"/>
        </w:rPr>
        <w:t>где M</w:t>
      </w:r>
      <w:r>
        <w:rPr>
          <w:i w:val="0"/>
          <w:vertAlign w:val="subscript"/>
        </w:rPr>
        <w:t>XY</w:t>
      </w:r>
      <w:r>
        <w:rPr>
          <w:i w:val="0"/>
        </w:rPr>
        <w:t xml:space="preserve"> — в точности двухканальный тензор Ди Дзензо вида (1). Таким образом, E</w:t>
      </w:r>
      <w:r>
        <w:rPr>
          <w:i w:val="0"/>
          <w:vertAlign w:val="subscript"/>
        </w:rPr>
        <w:t>L</w:t>
      </w:r>
      <w:r>
        <w:rPr>
          <w:i w:val="0"/>
        </w:rPr>
        <w:t xml:space="preserve"> = √(L</w:t>
      </w:r>
      <w:r>
        <w:rPr>
          <w:i w:val="0"/>
          <w:vertAlign w:val="superscript"/>
        </w:rPr>
        <w:t>T</w:t>
      </w:r>
      <w:r>
        <w:rPr>
          <w:i w:val="0"/>
        </w:rPr>
        <w:t>M</w:t>
      </w:r>
      <w:r>
        <w:rPr>
          <w:i w:val="0"/>
          <w:vertAlign w:val="subscript"/>
        </w:rPr>
        <w:t>XY</w:t>
      </w:r>
      <w:r>
        <w:rPr>
          <w:i w:val="0"/>
        </w:rPr>
        <w:t>L) — направленная компонента структурного тензора. В базисе собственных векторов M</w:t>
      </w:r>
      <w:r>
        <w:rPr>
          <w:i w:val="0"/>
          <w:vertAlign w:val="subscript"/>
        </w:rPr>
        <w:t>XY</w:t>
      </w:r>
      <w:r>
        <w:rPr>
          <w:i w:val="0"/>
        </w:rPr>
        <w:t xml:space="preserve"> при L = (cos φ, sin φ)</w:t>
      </w:r>
    </w:p>
    <w:p>
      <w:pPr>
        <w:jc w:val="center"/>
      </w:pPr>
      <w:r>
        <w:drawing>
          <wp:inline xmlns:a="http://schemas.openxmlformats.org/drawingml/2006/main" xmlns:pic="http://schemas.openxmlformats.org/drawingml/2006/picture">
            <wp:extent cx="1716881" cy="197644"/>
            <wp:docPr id="6" name="Picture 6"/>
            <wp:cNvGraphicFramePr>
              <a:graphicFrameLocks noChangeAspect="1"/>
            </wp:cNvGraphicFramePr>
            <a:graphic>
              <a:graphicData uri="http://schemas.openxmlformats.org/drawingml/2006/picture">
                <pic:pic>
                  <pic:nvPicPr>
                    <pic:cNvPr id="0" name="radial.png"/>
                    <pic:cNvPicPr/>
                  </pic:nvPicPr>
                  <pic:blipFill>
                    <a:blip r:embed="rId14"/>
                    <a:stretch>
                      <a:fillRect/>
                    </a:stretch>
                  </pic:blipFill>
                  <pic:spPr>
                    <a:xfrm>
                      <a:off x="0" y="0"/>
                      <a:ext cx="1716881" cy="197644"/>
                    </a:xfrm>
                    <a:prstGeom prst="rect"/>
                  </pic:spPr>
                </pic:pic>
              </a:graphicData>
            </a:graphic>
          </wp:inline>
        </w:drawing>
      </w:r>
      <w:r>
        <w:t xml:space="preserve">    (5)</w:t>
      </w:r>
    </w:p>
    <w:p>
      <w:pPr>
        <w:jc w:val="both"/>
      </w:pPr>
      <w:r>
        <w:rPr>
          <w:i w:val="0"/>
        </w:rPr>
        <w:t>Теорема 1 (об эквивалентности). Пусть Ē — среднее значение отклика (5) по всем направлениям φ от 0 до 2π. Тогда</w:t>
      </w:r>
    </w:p>
    <w:p>
      <w:pPr>
        <w:jc w:val="center"/>
      </w:pPr>
      <w:r>
        <w:drawing>
          <wp:inline xmlns:a="http://schemas.openxmlformats.org/drawingml/2006/main" xmlns:pic="http://schemas.openxmlformats.org/drawingml/2006/picture">
            <wp:extent cx="1821656" cy="195262"/>
            <wp:docPr id="7" name="Picture 7"/>
            <wp:cNvGraphicFramePr>
              <a:graphicFrameLocks noChangeAspect="1"/>
            </wp:cNvGraphicFramePr>
            <a:graphic>
              <a:graphicData uri="http://schemas.openxmlformats.org/drawingml/2006/picture">
                <pic:pic>
                  <pic:nvPicPr>
                    <pic:cNvPr id="0" name="elliptic.png"/>
                    <pic:cNvPicPr/>
                  </pic:nvPicPr>
                  <pic:blipFill>
                    <a:blip r:embed="rId15"/>
                    <a:stretch>
                      <a:fillRect/>
                    </a:stretch>
                  </pic:blipFill>
                  <pic:spPr>
                    <a:xfrm>
                      <a:off x="0" y="0"/>
                      <a:ext cx="1821656" cy="195262"/>
                    </a:xfrm>
                    <a:prstGeom prst="rect"/>
                  </pic:spPr>
                </pic:pic>
              </a:graphicData>
            </a:graphic>
          </wp:inline>
        </w:drawing>
      </w:r>
      <w:r>
        <w:t xml:space="preserve">    (6)</w:t>
      </w:r>
    </w:p>
    <w:p>
      <w:pPr>
        <w:jc w:val="both"/>
      </w:pPr>
      <w:r>
        <w:rPr>
          <w:i w:val="0"/>
        </w:rPr>
        <w:t>где E(⋅) — полный эллиптический интеграл второго рода. При фиксированном отношении анизотропии λ</w:t>
      </w:r>
      <w:r>
        <w:rPr>
          <w:i w:val="0"/>
          <w:vertAlign w:val="subscript"/>
        </w:rPr>
        <w:t>min</w:t>
      </w:r>
      <w:r>
        <w:rPr>
          <w:i w:val="0"/>
        </w:rPr>
        <w:t>/λ</w:t>
      </w:r>
      <w:r>
        <w:rPr>
          <w:i w:val="0"/>
          <w:vertAlign w:val="subscript"/>
        </w:rPr>
        <w:t>max</w:t>
      </w:r>
      <w:r>
        <w:rPr>
          <w:i w:val="0"/>
        </w:rPr>
        <w:t xml:space="preserve"> величина Ē строго возрастает по √λ</w:t>
      </w:r>
      <w:r>
        <w:rPr>
          <w:i w:val="0"/>
          <w:vertAlign w:val="subscript"/>
        </w:rPr>
        <w:t>max</w:t>
      </w:r>
      <w:r>
        <w:rPr>
          <w:i w:val="0"/>
        </w:rPr>
        <w:t>. Следовательно, любой процентильный порог отбирает по Ē те же пиксели, что и по магнитуде Ди Дзензо √λ</w:t>
      </w:r>
      <w:r>
        <w:rPr>
          <w:i w:val="0"/>
          <w:vertAlign w:val="subscript"/>
        </w:rPr>
        <w:t>max</w:t>
      </w:r>
      <w:r>
        <w:rPr>
          <w:i w:val="0"/>
        </w:rPr>
        <w:t>; на структурах ранга один (λ</w:t>
      </w:r>
      <w:r>
        <w:rPr>
          <w:i w:val="0"/>
          <w:vertAlign w:val="subscript"/>
        </w:rPr>
        <w:t>min</w:t>
      </w:r>
      <w:r>
        <w:rPr>
          <w:i w:val="0"/>
        </w:rPr>
        <w:t xml:space="preserve"> = 0) бинарные карты границ совпадают тождественно.</w:t>
      </w:r>
    </w:p>
    <w:p>
      <w:pPr>
        <w:ind w:firstLine="709"/>
        <w:jc w:val="both"/>
      </w:pPr>
      <w:r>
        <w:rPr>
          <w:i w:val="0"/>
        </w:rPr>
        <w:t>Доказательство. Формула (6) получается из (5) подстановкой k</w:t>
      </w:r>
      <w:r>
        <w:rPr>
          <w:i w:val="0"/>
          <w:vertAlign w:val="superscript"/>
        </w:rPr>
        <w:t>2</w:t>
      </w:r>
      <w:r>
        <w:rPr>
          <w:i w:val="0"/>
        </w:rPr>
        <w:t xml:space="preserve"> = 1 − λ</w:t>
      </w:r>
      <w:r>
        <w:rPr>
          <w:i w:val="0"/>
          <w:vertAlign w:val="subscript"/>
        </w:rPr>
        <w:t>min</w:t>
      </w:r>
      <w:r>
        <w:rPr>
          <w:i w:val="0"/>
        </w:rPr>
        <w:t>/λ</w:t>
      </w:r>
      <w:r>
        <w:rPr>
          <w:i w:val="0"/>
          <w:vertAlign w:val="subscript"/>
        </w:rPr>
        <w:t>max</w:t>
      </w:r>
      <w:r>
        <w:rPr>
          <w:i w:val="0"/>
        </w:rPr>
        <w:t xml:space="preserve"> и определением полного эллиптического интеграла второго рода с учётом π-периодичности подынтегральной функции. Строгая монотонность по √λ</w:t>
      </w:r>
      <w:r>
        <w:rPr>
          <w:i w:val="0"/>
          <w:vertAlign w:val="subscript"/>
        </w:rPr>
        <w:t>max</w:t>
      </w:r>
      <w:r>
        <w:rPr>
          <w:i w:val="0"/>
        </w:rPr>
        <w:t xml:space="preserve"> при фиксированном k очевидна, поскольку E(k) &gt; 0. Строго возрастающее преобразование сохраняет порядок значений пикселей, а значит, и всякое процентильное пороговое множество. При λ</w:t>
      </w:r>
      <w:r>
        <w:rPr>
          <w:i w:val="0"/>
          <w:vertAlign w:val="subscript"/>
        </w:rPr>
        <w:t>min</w:t>
      </w:r>
      <w:r>
        <w:rPr>
          <w:i w:val="0"/>
        </w:rPr>
        <w:t xml:space="preserve"> = 0 имеем Ē = (2/π)√λ</w:t>
      </w:r>
      <w:r>
        <w:rPr>
          <w:i w:val="0"/>
          <w:vertAlign w:val="subscript"/>
        </w:rPr>
        <w:t>max</w:t>
      </w:r>
      <w:r>
        <w:rPr>
          <w:i w:val="0"/>
        </w:rPr>
        <w:t>, то есть прямую пропорциональность магнитуде Ди Дзензо. Что и требовалось доказать.</w:t>
      </w:r>
    </w:p>
    <w:p>
      <w:pPr>
        <w:ind w:firstLine="709"/>
        <w:jc w:val="both"/>
      </w:pPr>
      <w:r>
        <w:rPr>
          <w:i w:val="0"/>
        </w:rPr>
        <w:t>Замечание 1. Дискретное усреднение по N = 8 равноотстоящим направлениям, используемое в практической реализации, является квадратурной аппроксимацией интеграла (6); ввиду π-периодичности E</w:t>
      </w:r>
      <w:r>
        <w:rPr>
          <w:i w:val="0"/>
          <w:vertAlign w:val="subscript"/>
        </w:rPr>
        <w:t>φ</w:t>
      </w:r>
      <w:r>
        <w:rPr>
          <w:i w:val="0"/>
        </w:rPr>
        <w:t xml:space="preserve"> восемь узлов дают четыре независимых отсчёта на период, и погрешность аппроксимации не влияет на ранговый порядок пикселей на структурах ранга один.</w:t>
      </w:r>
    </w:p>
    <w:p>
      <w:pPr>
        <w:ind w:firstLine="709"/>
        <w:jc w:val="both"/>
      </w:pPr>
      <w:r>
        <w:rPr>
          <w:i w:val="0"/>
        </w:rPr>
        <w:t>Предложение 1 (об избыточности антиподальных направлений). Отклик зависит от L только через квадратичную форму L</w:t>
      </w:r>
      <w:r>
        <w:rPr>
          <w:i w:val="0"/>
          <w:vertAlign w:val="superscript"/>
        </w:rPr>
        <w:t>T</w:t>
      </w:r>
      <w:r>
        <w:rPr>
          <w:i w:val="0"/>
        </w:rPr>
        <w:t>M</w:t>
      </w:r>
      <w:r>
        <w:rPr>
          <w:i w:val="0"/>
          <w:vertAlign w:val="subscript"/>
        </w:rPr>
        <w:t>XY</w:t>
      </w:r>
      <w:r>
        <w:rPr>
          <w:i w:val="0"/>
        </w:rPr>
        <w:t>L, инвариантную относительно замены L на −L. Поэтому пополнение набора направлений антиподами не меняет усреднённый отклик: соответствующие конфигурации порождают попиксельно идентичные карты границ. Это предсказание подтверждено вычислительно: карты для двух и для четырёх направлений совпадают побитово (см. разд. 6).</w:t>
      </w:r>
    </w:p>
    <w:p>
      <w:pPr>
        <w:ind w:firstLine="709"/>
        <w:jc w:val="both"/>
      </w:pPr>
      <w:r>
        <w:rPr>
          <w:i w:val="0"/>
        </w:rPr>
        <w:t>Предложение 2 (о перестановках каналов). При α = 0 третий канал Z не входит в отклик, и шесть перестановок (X, Y, Z) сводятся к трём неупорядоченным парам каналов. Слияние по максимуму даёт максимум направленных откликов двухканальных подтензоров полного трёхканального тензора (1). На границах, где доминирует одна пара каналов, этот максимум близок к √λ</w:t>
      </w:r>
      <w:r>
        <w:rPr>
          <w:i w:val="0"/>
          <w:vertAlign w:val="subscript"/>
        </w:rPr>
        <w:t>max</w:t>
      </w:r>
      <w:r>
        <w:rPr>
          <w:i w:val="0"/>
        </w:rPr>
        <w:t xml:space="preserve"> полного тензора; этим объясняется эмпирическая ранговая корреляция ρ ≈ 0,99 (а не строго 1) с полным оператором Ди Дзензо на естественных изображениях.</w:t>
      </w:r>
    </w:p>
    <w:p>
      <w:pPr>
        <w:spacing w:before="240"/>
        <w:jc w:val="center"/>
      </w:pPr>
      <w:r>
        <w:rPr>
          <w:b/>
        </w:rPr>
        <w:t>5. МУЛЬТИПЛИКАТИВНОЕ РАСШИРЕНИЕ И ЕГО ПРЕДЕЛ НА ИЗОБРАЖЕНИЯХ С КАНАЛОМ ГЛУБИНЫ</w:t>
      </w:r>
    </w:p>
    <w:p>
      <w:pPr>
        <w:ind w:firstLine="709"/>
        <w:jc w:val="both"/>
      </w:pPr>
      <w:r>
        <w:rPr>
          <w:i w:val="0"/>
        </w:rPr>
        <w:t>Единственный алгебраически отличный элемент конструкции (2) — мультипликативный высотный член h(C</w:t>
      </w:r>
      <w:r>
        <w:rPr>
          <w:i w:val="0"/>
          <w:vertAlign w:val="subscript"/>
        </w:rPr>
        <w:t>Z</w:t>
      </w:r>
      <w:r>
        <w:rPr>
          <w:i w:val="0"/>
        </w:rPr>
        <w:t>). Если в роли Z выступает четвёртый, семантически выделенный канал D (глубина в данных RGB-D), можно ожидать, что канально-асимметричная модуляция даст преимущество перед симметричным тензором. Покажем, что это не так, причём по структурным причинам. Полный отклик имеет вид</w:t>
      </w:r>
    </w:p>
    <w:p>
      <w:pPr>
        <w:jc w:val="center"/>
      </w:pPr>
      <w:r>
        <w:drawing>
          <wp:inline xmlns:a="http://schemas.openxmlformats.org/drawingml/2006/main" xmlns:pic="http://schemas.openxmlformats.org/drawingml/2006/picture">
            <wp:extent cx="2890837" cy="204787"/>
            <wp:docPr id="8" name="Picture 8"/>
            <wp:cNvGraphicFramePr>
              <a:graphicFrameLocks noChangeAspect="1"/>
            </wp:cNvGraphicFramePr>
            <a:graphic>
              <a:graphicData uri="http://schemas.openxmlformats.org/drawingml/2006/picture">
                <pic:pic>
                  <pic:nvPicPr>
                    <pic:cNvPr id="0" name="full.png"/>
                    <pic:cNvPicPr/>
                  </pic:nvPicPr>
                  <pic:blipFill>
                    <a:blip r:embed="rId16"/>
                    <a:stretch>
                      <a:fillRect/>
                    </a:stretch>
                  </pic:blipFill>
                  <pic:spPr>
                    <a:xfrm>
                      <a:off x="0" y="0"/>
                      <a:ext cx="2890837" cy="204787"/>
                    </a:xfrm>
                    <a:prstGeom prst="rect"/>
                  </pic:spPr>
                </pic:pic>
              </a:graphicData>
            </a:graphic>
          </wp:inline>
        </w:drawing>
      </w:r>
      <w:r>
        <w:t xml:space="preserve">    (7)</w:t>
      </w:r>
    </w:p>
    <w:p>
      <w:pPr>
        <w:jc w:val="both"/>
      </w:pPr>
      <w:r>
        <w:rPr>
          <w:i w:val="0"/>
        </w:rPr>
        <w:t>Теорема 2 (о структурном пределе мультипликативной модуляции). Пусть отклик задан формулой (7) с ограниченной функцией h. Если в пикселе ∇X = ∇Y = 0, то отклик равен нулю в этом пикселе для любого L, независимо от значения C</w:t>
      </w:r>
      <w:r>
        <w:rPr>
          <w:i w:val="0"/>
          <w:vertAlign w:val="subscript"/>
        </w:rPr>
        <w:t>Z</w:t>
      </w:r>
      <w:r>
        <w:rPr>
          <w:i w:val="0"/>
        </w:rPr>
        <w:t xml:space="preserve"> и градиента ∇C</w:t>
      </w:r>
      <w:r>
        <w:rPr>
          <w:i w:val="0"/>
          <w:vertAlign w:val="subscript"/>
        </w:rPr>
        <w:t>Z</w:t>
      </w:r>
      <w:r>
        <w:rPr>
          <w:i w:val="0"/>
        </w:rPr>
        <w:t>. Следовательно, оператор не способен реагировать на границу, определяемую только каналом Z (например, перепад глубины в области однородного цвета).</w:t>
      </w:r>
    </w:p>
    <w:p>
      <w:pPr>
        <w:ind w:firstLine="709"/>
        <w:jc w:val="both"/>
      </w:pPr>
      <w:r>
        <w:rPr>
          <w:i w:val="0"/>
        </w:rPr>
        <w:t>Доказательство. При ∇X = ∇Y = 0 имеем M</w:t>
      </w:r>
      <w:r>
        <w:rPr>
          <w:i w:val="0"/>
          <w:vertAlign w:val="subscript"/>
        </w:rPr>
        <w:t>XY</w:t>
      </w:r>
      <w:r>
        <w:rPr>
          <w:i w:val="0"/>
        </w:rPr>
        <w:t xml:space="preserve"> = 0, откуда √(L</w:t>
      </w:r>
      <w:r>
        <w:rPr>
          <w:i w:val="0"/>
          <w:vertAlign w:val="superscript"/>
        </w:rPr>
        <w:t>T</w:t>
      </w:r>
      <w:r>
        <w:rPr>
          <w:i w:val="0"/>
        </w:rPr>
        <w:t>M</w:t>
      </w:r>
      <w:r>
        <w:rPr>
          <w:i w:val="0"/>
          <w:vertAlign w:val="subscript"/>
        </w:rPr>
        <w:t>XY</w:t>
      </w:r>
      <w:r>
        <w:rPr>
          <w:i w:val="0"/>
        </w:rPr>
        <w:t>L) = 0 и h·0 = 0 для любой ограниченной h. Что и требовалось доказать.</w:t>
      </w:r>
    </w:p>
    <w:p>
      <w:pPr>
        <w:ind w:firstLine="709"/>
        <w:jc w:val="both"/>
      </w:pPr>
      <w:r>
        <w:rPr>
          <w:i w:val="0"/>
        </w:rPr>
        <w:t>Следствие (классификация обобщений). Аддитивное включение канала D — добавление слагаемого (∇D)(∇D)</w:t>
      </w:r>
      <w:r>
        <w:rPr>
          <w:i w:val="0"/>
          <w:vertAlign w:val="superscript"/>
        </w:rPr>
        <w:t>T</w:t>
      </w:r>
      <w:r>
        <w:rPr>
          <w:i w:val="0"/>
        </w:rPr>
        <w:t xml:space="preserve"> в тензор — по теореме 1 сводится к многоканальному оператору Ди Дзензо. Единственное алгебраически отличное, мультипликативное расширение по теореме 2 не обнаруживает границ, определяемых только каналом D. Таким образом, в рассматриваемом классе не существует обобщения, которое одновременно отличалось бы от многоканального Ди Дзензо и обнаруживало границы по глубине; для этого необходимы механизмы, нелинейные по ∇D (например, модуляция вида h(‖∇D‖) или логическое стробирование цветового отклика картой глубинных границ).</w:t>
      </w:r>
    </w:p>
    <w:p>
      <w:pPr>
        <w:spacing w:before="240"/>
        <w:jc w:val="center"/>
      </w:pPr>
      <w:r>
        <w:rPr>
          <w:b/>
        </w:rPr>
        <w:t>6. ВЫЧИСЛИТЕЛЬНЫЕ ЭКСПЕРИМЕНТЫ</w:t>
      </w:r>
    </w:p>
    <w:p>
      <w:pPr>
        <w:ind w:firstLine="709"/>
        <w:jc w:val="both"/>
      </w:pPr>
      <w:r>
        <w:rPr>
          <w:i w:val="0"/>
        </w:rPr>
        <w:t>Все эксперименты воспроизводятся открытым кодом (см. раздел о доступности данных в конце статьи). Метрика качества — F</w:t>
      </w:r>
      <w:r>
        <w:rPr>
          <w:i w:val="0"/>
          <w:vertAlign w:val="subscript"/>
        </w:rPr>
        <w:t>1</w:t>
      </w:r>
      <w:r>
        <w:rPr>
          <w:i w:val="0"/>
        </w:rPr>
        <w:t xml:space="preserve"> по паросочетанию с допуском на основе преобразования расстояния. Замеры времени в работе не используются как аргумент в пользу какого-либо из операторов: как показано в замечании 2, они определяются деталями реализации и методикой измерения в большей степени, чем алгоритмической структурой. Далее в таблицах: ДД — оператор Ди Дзензо, ВО — оператор виртуального освещения.</w:t>
      </w:r>
    </w:p>
    <w:p>
      <w:pPr>
        <w:ind w:firstLine="709"/>
        <w:jc w:val="both"/>
      </w:pPr>
      <w:r>
        <w:rPr>
          <w:i w:val="0"/>
        </w:rPr>
        <w:t>Замечание 2. Сравнение операторов по времени выполнения требует осторожности, поскольку доминируют два фактора, не связанных с алгоритмом. Во-первых, реализация свёртки: вычисление оператора Собеля через общую двумерную корреляцию примерно вдвое медленнее сепарабельной реализации при идентичном результате, поэтому «паритет по скорости» с оператором виртуального освещения возникает лишь при сравнении с неоптимальной реализацией базового оператора. Во-вторых, методика измерения: при поблочной схеме (все повторы одного оператора, затем все повторы следующего) один и тот же вызов на одних и тех же данных давал от 8,0 до 4,0 мс в зависимости от состояния менеджера памяти и порядка измерения — разброс, превышающий большинство сравниваемых различий. Устойчивые оценки требуют чередования операторов внутри раунда и перемешивания порядка между раундами. Отдельно отметим, что зависимость времени от числа направлений освещения N линейна с большой постоянной составляющей: при размере 256×256 измеренная модель имеет вид T(N) ≈ 8,3 + 0,47·N мс, то есть при N = 8 порядка 69 % времени приходится на операции, не зависящие от N (вычисление градиентов, оценка порога, нормировка), и сокращение числа направлений с восьми до двух даёт ускорение лишь около 1,5 раза.</w:t>
      </w:r>
    </w:p>
    <w:p>
      <w:pPr>
        <w:ind w:firstLine="709"/>
        <w:jc w:val="both"/>
      </w:pPr>
      <w:r>
        <w:rPr>
          <w:i w:val="0"/>
        </w:rPr>
        <w:t>6.1. Синтетический набор. Таблица 1 приводит F</w:t>
      </w:r>
      <w:r>
        <w:rPr>
          <w:i w:val="0"/>
          <w:vertAlign w:val="subscript"/>
        </w:rPr>
        <w:t>1</w:t>
      </w:r>
      <w:r>
        <w:rPr>
          <w:i w:val="0"/>
        </w:rPr>
        <w:t xml:space="preserve"> (допуск 2 пикселя, изображения 256×256). Операторы Собеля, Превитта и Ди Дзензо бинаризованы по 95-му процентилю собственной магнитуды. Приведённые значения не следует использовать для ранжирования методов: как показано в замечании 3, на синтетических изображениях они определяются способом разрешения совпадающих значений на пороге.</w:t>
      </w:r>
    </w:p>
    <w:p>
      <w:pPr>
        <w:jc w:val="left"/>
      </w:pPr>
      <w:r>
        <w:rPr>
          <w:b w:val="0"/>
          <w:i w:val="0"/>
        </w:rPr>
        <w:t>Таблица 1. Синтетический набор: F</w:t>
      </w:r>
      <w:r>
        <w:rPr>
          <w:b w:val="0"/>
          <w:i w:val="0"/>
          <w:vertAlign w:val="subscript"/>
        </w:rPr>
        <w:t>1</w:t>
      </w:r>
      <w:r>
        <w:rPr>
          <w:b w:val="0"/>
          <w:i w:val="0"/>
        </w:rPr>
        <w:t xml:space="preserve"> при допуске 2 пикселя (значения неустойчивы, см. замечание 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i w:val="0"/>
              </w:rPr>
              <w:t>Изображение</w:t>
            </w:r>
          </w:p>
        </w:tc>
        <w:tc>
          <w:tcPr>
            <w:tcW w:type="dxa" w:w="1728"/>
          </w:tcPr>
          <w:p>
            <w:pPr>
              <w:jc w:val="center"/>
            </w:pPr>
            <w:r>
              <w:rPr>
                <w:b/>
                <w:i w:val="0"/>
              </w:rPr>
              <w:t>Собель</w:t>
            </w:r>
          </w:p>
        </w:tc>
        <w:tc>
          <w:tcPr>
            <w:tcW w:type="dxa" w:w="1728"/>
          </w:tcPr>
          <w:p>
            <w:pPr>
              <w:jc w:val="center"/>
            </w:pPr>
            <w:r>
              <w:rPr>
                <w:b/>
                <w:i w:val="0"/>
              </w:rPr>
              <w:t>Кэнни</w:t>
            </w:r>
          </w:p>
        </w:tc>
        <w:tc>
          <w:tcPr>
            <w:tcW w:type="dxa" w:w="1728"/>
          </w:tcPr>
          <w:p>
            <w:pPr>
              <w:jc w:val="center"/>
            </w:pPr>
            <w:r>
              <w:rPr>
                <w:b/>
                <w:i w:val="0"/>
              </w:rPr>
              <w:t>ДД</w:t>
            </w:r>
          </w:p>
        </w:tc>
        <w:tc>
          <w:tcPr>
            <w:tcW w:type="dxa" w:w="1728"/>
          </w:tcPr>
          <w:p>
            <w:pPr>
              <w:jc w:val="center"/>
            </w:pPr>
            <w:r>
              <w:rPr>
                <w:b/>
                <w:i w:val="0"/>
              </w:rPr>
              <w:t>ВО</w:t>
            </w:r>
          </w:p>
        </w:tc>
      </w:tr>
      <w:tr>
        <w:tc>
          <w:tcPr>
            <w:tcW w:type="dxa" w:w="1728"/>
          </w:tcPr>
          <w:p>
            <w:pPr>
              <w:jc w:val="left"/>
            </w:pPr>
            <w:r>
              <w:rPr>
                <w:i w:val="0"/>
              </w:rPr>
              <w:t>Шахматная доска</w:t>
            </w:r>
          </w:p>
        </w:tc>
        <w:tc>
          <w:tcPr>
            <w:tcW w:type="dxa" w:w="1728"/>
          </w:tcPr>
          <w:p>
            <w:pPr>
              <w:jc w:val="center"/>
            </w:pPr>
            <w:r>
              <w:rPr>
                <w:i w:val="0"/>
              </w:rPr>
              <w:t>0,000</w:t>
            </w:r>
          </w:p>
        </w:tc>
        <w:tc>
          <w:tcPr>
            <w:tcW w:type="dxa" w:w="1728"/>
          </w:tcPr>
          <w:p>
            <w:pPr>
              <w:jc w:val="center"/>
            </w:pPr>
            <w:r>
              <w:rPr>
                <w:i w:val="0"/>
              </w:rPr>
              <w:t>0,958</w:t>
            </w:r>
          </w:p>
        </w:tc>
        <w:tc>
          <w:tcPr>
            <w:tcW w:type="dxa" w:w="1728"/>
          </w:tcPr>
          <w:p>
            <w:pPr>
              <w:jc w:val="center"/>
            </w:pPr>
            <w:r>
              <w:rPr>
                <w:i w:val="0"/>
              </w:rPr>
              <w:t>0,505</w:t>
            </w:r>
          </w:p>
        </w:tc>
        <w:tc>
          <w:tcPr>
            <w:tcW w:type="dxa" w:w="1728"/>
          </w:tcPr>
          <w:p>
            <w:pPr>
              <w:jc w:val="center"/>
            </w:pPr>
            <w:r>
              <w:rPr>
                <w:i w:val="0"/>
              </w:rPr>
              <w:t>0,933</w:t>
            </w:r>
          </w:p>
        </w:tc>
      </w:tr>
      <w:tr>
        <w:tc>
          <w:tcPr>
            <w:tcW w:type="dxa" w:w="1728"/>
          </w:tcPr>
          <w:p>
            <w:pPr>
              <w:jc w:val="left"/>
            </w:pPr>
            <w:r>
              <w:rPr>
                <w:i w:val="0"/>
              </w:rPr>
              <w:t>Концентрические окружности</w:t>
            </w:r>
          </w:p>
        </w:tc>
        <w:tc>
          <w:tcPr>
            <w:tcW w:type="dxa" w:w="1728"/>
          </w:tcPr>
          <w:p>
            <w:pPr>
              <w:jc w:val="center"/>
            </w:pPr>
            <w:r>
              <w:rPr>
                <w:i w:val="0"/>
              </w:rPr>
              <w:t>1,000</w:t>
            </w:r>
          </w:p>
        </w:tc>
        <w:tc>
          <w:tcPr>
            <w:tcW w:type="dxa" w:w="1728"/>
          </w:tcPr>
          <w:p>
            <w:pPr>
              <w:jc w:val="center"/>
            </w:pPr>
            <w:r>
              <w:rPr>
                <w:i w:val="0"/>
              </w:rPr>
              <w:t>1,000</w:t>
            </w:r>
          </w:p>
        </w:tc>
        <w:tc>
          <w:tcPr>
            <w:tcW w:type="dxa" w:w="1728"/>
          </w:tcPr>
          <w:p>
            <w:pPr>
              <w:jc w:val="center"/>
            </w:pPr>
            <w:r>
              <w:rPr>
                <w:i w:val="0"/>
              </w:rPr>
              <w:t>1,000</w:t>
            </w:r>
          </w:p>
        </w:tc>
        <w:tc>
          <w:tcPr>
            <w:tcW w:type="dxa" w:w="1728"/>
          </w:tcPr>
          <w:p>
            <w:pPr>
              <w:jc w:val="center"/>
            </w:pPr>
            <w:r>
              <w:rPr>
                <w:i w:val="0"/>
              </w:rPr>
              <w:t>1,000</w:t>
            </w:r>
          </w:p>
        </w:tc>
      </w:tr>
      <w:tr>
        <w:tc>
          <w:tcPr>
            <w:tcW w:type="dxa" w:w="1728"/>
          </w:tcPr>
          <w:p>
            <w:pPr>
              <w:jc w:val="left"/>
            </w:pPr>
            <w:r>
              <w:rPr>
                <w:i w:val="0"/>
              </w:rPr>
              <w:t>Изолюминантные патчи</w:t>
            </w:r>
          </w:p>
        </w:tc>
        <w:tc>
          <w:tcPr>
            <w:tcW w:type="dxa" w:w="1728"/>
          </w:tcPr>
          <w:p>
            <w:pPr>
              <w:jc w:val="center"/>
            </w:pPr>
            <w:r>
              <w:rPr>
                <w:i w:val="0"/>
              </w:rPr>
              <w:t>1,000</w:t>
            </w:r>
          </w:p>
        </w:tc>
        <w:tc>
          <w:tcPr>
            <w:tcW w:type="dxa" w:w="1728"/>
          </w:tcPr>
          <w:p>
            <w:pPr>
              <w:jc w:val="center"/>
            </w:pPr>
            <w:r>
              <w:rPr>
                <w:i w:val="0"/>
              </w:rPr>
              <w:t>0,000</w:t>
            </w:r>
          </w:p>
        </w:tc>
        <w:tc>
          <w:tcPr>
            <w:tcW w:type="dxa" w:w="1728"/>
          </w:tcPr>
          <w:p>
            <w:pPr>
              <w:jc w:val="center"/>
            </w:pPr>
            <w:r>
              <w:rPr>
                <w:i w:val="0"/>
              </w:rPr>
              <w:t>0,909</w:t>
            </w:r>
          </w:p>
        </w:tc>
        <w:tc>
          <w:tcPr>
            <w:tcW w:type="dxa" w:w="1728"/>
          </w:tcPr>
          <w:p>
            <w:pPr>
              <w:jc w:val="center"/>
            </w:pPr>
            <w:r>
              <w:rPr>
                <w:i w:val="0"/>
              </w:rPr>
              <w:t>0,909</w:t>
            </w:r>
          </w:p>
        </w:tc>
      </w:tr>
      <w:tr>
        <w:tc>
          <w:tcPr>
            <w:tcW w:type="dxa" w:w="1728"/>
          </w:tcPr>
          <w:p>
            <w:pPr>
              <w:jc w:val="left"/>
            </w:pPr>
            <w:r>
              <w:rPr>
                <w:i w:val="0"/>
              </w:rPr>
              <w:t>Цветовой круг</w:t>
            </w:r>
          </w:p>
        </w:tc>
        <w:tc>
          <w:tcPr>
            <w:tcW w:type="dxa" w:w="1728"/>
          </w:tcPr>
          <w:p>
            <w:pPr>
              <w:jc w:val="center"/>
            </w:pPr>
            <w:r>
              <w:rPr>
                <w:i w:val="0"/>
              </w:rPr>
              <w:t>0,510</w:t>
            </w:r>
          </w:p>
        </w:tc>
        <w:tc>
          <w:tcPr>
            <w:tcW w:type="dxa" w:w="1728"/>
          </w:tcPr>
          <w:p>
            <w:pPr>
              <w:jc w:val="center"/>
            </w:pPr>
            <w:r>
              <w:rPr>
                <w:i w:val="0"/>
              </w:rPr>
              <w:t>0,473</w:t>
            </w:r>
          </w:p>
        </w:tc>
        <w:tc>
          <w:tcPr>
            <w:tcW w:type="dxa" w:w="1728"/>
          </w:tcPr>
          <w:p>
            <w:pPr>
              <w:jc w:val="center"/>
            </w:pPr>
            <w:r>
              <w:rPr>
                <w:i w:val="0"/>
              </w:rPr>
              <w:t>0,340</w:t>
            </w:r>
          </w:p>
        </w:tc>
        <w:tc>
          <w:tcPr>
            <w:tcW w:type="dxa" w:w="1728"/>
          </w:tcPr>
          <w:p>
            <w:pPr>
              <w:jc w:val="center"/>
            </w:pPr>
            <w:r>
              <w:rPr>
                <w:i w:val="0"/>
              </w:rPr>
              <w:t>0,887</w:t>
            </w:r>
          </w:p>
        </w:tc>
      </w:tr>
      <w:tr>
        <w:tc>
          <w:tcPr>
            <w:tcW w:type="dxa" w:w="1728"/>
          </w:tcPr>
          <w:p>
            <w:pPr>
              <w:jc w:val="left"/>
            </w:pPr>
            <w:r>
              <w:rPr>
                <w:i w:val="0"/>
              </w:rPr>
              <w:t>Размытый диск</w:t>
            </w:r>
          </w:p>
        </w:tc>
        <w:tc>
          <w:tcPr>
            <w:tcW w:type="dxa" w:w="1728"/>
          </w:tcPr>
          <w:p>
            <w:pPr>
              <w:jc w:val="center"/>
            </w:pPr>
            <w:r>
              <w:rPr>
                <w:i w:val="0"/>
              </w:rPr>
              <w:t>1,000</w:t>
            </w:r>
          </w:p>
        </w:tc>
        <w:tc>
          <w:tcPr>
            <w:tcW w:type="dxa" w:w="1728"/>
          </w:tcPr>
          <w:p>
            <w:pPr>
              <w:jc w:val="center"/>
            </w:pPr>
            <w:r>
              <w:rPr>
                <w:i w:val="0"/>
              </w:rPr>
              <w:t>1,000</w:t>
            </w:r>
          </w:p>
        </w:tc>
        <w:tc>
          <w:tcPr>
            <w:tcW w:type="dxa" w:w="1728"/>
          </w:tcPr>
          <w:p>
            <w:pPr>
              <w:jc w:val="center"/>
            </w:pPr>
            <w:r>
              <w:rPr>
                <w:i w:val="0"/>
              </w:rPr>
              <w:t>1,000</w:t>
            </w:r>
          </w:p>
        </w:tc>
        <w:tc>
          <w:tcPr>
            <w:tcW w:type="dxa" w:w="1728"/>
          </w:tcPr>
          <w:p>
            <w:pPr>
              <w:jc w:val="center"/>
            </w:pPr>
            <w:r>
              <w:rPr>
                <w:i w:val="0"/>
              </w:rPr>
              <w:t>1,000</w:t>
            </w:r>
          </w:p>
        </w:tc>
      </w:tr>
      <w:tr>
        <w:tc>
          <w:tcPr>
            <w:tcW w:type="dxa" w:w="1728"/>
          </w:tcPr>
          <w:p>
            <w:pPr>
              <w:jc w:val="left"/>
            </w:pPr>
            <w:r>
              <w:rPr>
                <w:i w:val="0"/>
              </w:rPr>
              <w:t>Полутоновый градиент</w:t>
            </w:r>
          </w:p>
        </w:tc>
        <w:tc>
          <w:tcPr>
            <w:tcW w:type="dxa" w:w="1728"/>
          </w:tcPr>
          <w:p>
            <w:pPr>
              <w:jc w:val="center"/>
            </w:pPr>
            <w:r>
              <w:rPr>
                <w:i w:val="0"/>
              </w:rPr>
              <w:t>1,000</w:t>
            </w:r>
          </w:p>
        </w:tc>
        <w:tc>
          <w:tcPr>
            <w:tcW w:type="dxa" w:w="1728"/>
          </w:tcPr>
          <w:p>
            <w:pPr>
              <w:jc w:val="center"/>
            </w:pPr>
            <w:r>
              <w:rPr>
                <w:i w:val="0"/>
              </w:rPr>
              <w:t>1,000</w:t>
            </w:r>
          </w:p>
        </w:tc>
        <w:tc>
          <w:tcPr>
            <w:tcW w:type="dxa" w:w="1728"/>
          </w:tcPr>
          <w:p>
            <w:pPr>
              <w:jc w:val="center"/>
            </w:pPr>
            <w:r>
              <w:rPr>
                <w:i w:val="0"/>
              </w:rPr>
              <w:t>0,000</w:t>
            </w:r>
          </w:p>
        </w:tc>
        <w:tc>
          <w:tcPr>
            <w:tcW w:type="dxa" w:w="1728"/>
          </w:tcPr>
          <w:p>
            <w:pPr>
              <w:jc w:val="center"/>
            </w:pPr>
            <w:r>
              <w:rPr>
                <w:i w:val="0"/>
              </w:rPr>
              <w:t>0,000</w:t>
            </w:r>
          </w:p>
        </w:tc>
      </w:tr>
      <w:tr>
        <w:tc>
          <w:tcPr>
            <w:tcW w:type="dxa" w:w="1728"/>
          </w:tcPr>
          <w:p>
            <w:pPr>
              <w:jc w:val="left"/>
            </w:pPr>
            <w:r>
              <w:rPr>
                <w:i w:val="0"/>
              </w:rPr>
              <w:t>Среднее</w:t>
            </w:r>
          </w:p>
        </w:tc>
        <w:tc>
          <w:tcPr>
            <w:tcW w:type="dxa" w:w="1728"/>
          </w:tcPr>
          <w:p>
            <w:pPr>
              <w:jc w:val="center"/>
            </w:pPr>
            <w:r>
              <w:rPr>
                <w:i w:val="0"/>
              </w:rPr>
              <w:t>0,752</w:t>
            </w:r>
          </w:p>
        </w:tc>
        <w:tc>
          <w:tcPr>
            <w:tcW w:type="dxa" w:w="1728"/>
          </w:tcPr>
          <w:p>
            <w:pPr>
              <w:jc w:val="center"/>
            </w:pPr>
            <w:r>
              <w:rPr>
                <w:i w:val="0"/>
              </w:rPr>
              <w:t>0,739</w:t>
            </w:r>
          </w:p>
        </w:tc>
        <w:tc>
          <w:tcPr>
            <w:tcW w:type="dxa" w:w="1728"/>
          </w:tcPr>
          <w:p>
            <w:pPr>
              <w:jc w:val="center"/>
            </w:pPr>
            <w:r>
              <w:rPr>
                <w:i w:val="0"/>
              </w:rPr>
              <w:t>0,626</w:t>
            </w:r>
          </w:p>
        </w:tc>
        <w:tc>
          <w:tcPr>
            <w:tcW w:type="dxa" w:w="1728"/>
          </w:tcPr>
          <w:p>
            <w:pPr>
              <w:jc w:val="center"/>
            </w:pPr>
            <w:r>
              <w:rPr>
                <w:i w:val="0"/>
              </w:rPr>
              <w:t>0,788</w:t>
            </w:r>
          </w:p>
        </w:tc>
      </w:tr>
    </w:tbl>
    <w:p/>
    <w:p>
      <w:pPr>
        <w:ind w:firstLine="709"/>
        <w:jc w:val="both"/>
      </w:pPr>
      <w:r>
        <w:rPr>
          <w:i w:val="0"/>
        </w:rPr>
        <w:t>Замечание 4 (о «стерильной» синтетике). Высокий результат полутонового оператора Собеля на изолюминантных патчах объясняется не чувствительностью к цвету: остаточная разница яркостей выбранной пары цветов составляет около 0,3 градации серого, и после нормировки карты градиента этот микросигнал растягивается на весь динамический диапазон — но лишь при отсутствии в кадре более сильного контента. На смешанном контенте (цветовой круг) и на естественных изображениях эффект исчезает. Отсюда методологический вывод: демонстрация цветочувствительности корректна на изображениях со смешанным контентом, а не на однородных парах цветов.</w:t>
      </w:r>
    </w:p>
    <w:p>
      <w:pPr>
        <w:ind w:firstLine="709"/>
        <w:jc w:val="both"/>
      </w:pPr>
      <w:r>
        <w:rPr>
          <w:i w:val="0"/>
        </w:rPr>
        <w:t>Замечание 3 (о неустойчивости F</w:t>
      </w:r>
      <w:r>
        <w:rPr>
          <w:i w:val="0"/>
          <w:vertAlign w:val="subscript"/>
        </w:rPr>
        <w:t>1</w:t>
      </w:r>
      <w:r>
        <w:rPr>
          <w:i w:val="0"/>
        </w:rPr>
        <w:t xml:space="preserve"> на синтетических изображениях). Синтетические изображения содержат обширные области с одинаковой магнитудой градиента, поэтому значительная доля пикселей принимает значение, в точности равное перцентильному порогу, и включается в карту границ либо исключается из неё целой группой. Замена строгого сравнения на нестрогое — выбор, не имеющий физического содержания, — изменяет F</w:t>
      </w:r>
      <w:r>
        <w:rPr>
          <w:i w:val="0"/>
          <w:vertAlign w:val="subscript"/>
        </w:rPr>
        <w:t>1</w:t>
      </w:r>
      <w:r>
        <w:rPr>
          <w:i w:val="0"/>
        </w:rPr>
        <w:t xml:space="preserve"> на величину до 0,45: для шахматной доски 4690 пикселей (28,6 %) лежат ровно на пороге, и F</w:t>
      </w:r>
      <w:r>
        <w:rPr>
          <w:i w:val="0"/>
          <w:vertAlign w:val="subscript"/>
        </w:rPr>
        <w:t>1</w:t>
      </w:r>
      <w:r>
        <w:rPr>
          <w:i w:val="0"/>
        </w:rPr>
        <w:t xml:space="preserve"> оператора Ди Дзензо составляет 0,505 либо 0,954 в зависимости от этого выбора. По той же причине значения меняются при возмущениях уровня машинной точности. На естественных изображениях эффект отсутствует: доля пикселей, точно совпадающих с порогом, составляет около 0,1 %, и результаты таблицы 2 воспроизводятся без изменений. Поэтому выводы работы опираются на оценки, полученные на коллекции BSDS500.</w:t>
      </w:r>
    </w:p>
    <w:p>
      <w:pPr>
        <w:ind w:firstLine="709"/>
        <w:jc w:val="both"/>
      </w:pPr>
      <w:r>
        <w:rPr>
          <w:i w:val="0"/>
        </w:rPr>
        <w:t>6.2. Ориентационное исследование. На изолюминантных полосах равной яркости при двенадцати ориентациях нормали (шаг 15°) оба цветовых оператора обнаруживают границы (F</w:t>
      </w:r>
      <w:r>
        <w:rPr>
          <w:i w:val="0"/>
          <w:vertAlign w:val="subscript"/>
        </w:rPr>
        <w:t>1</w:t>
      </w:r>
      <w:r>
        <w:rPr>
          <w:i w:val="0"/>
        </w:rPr>
        <w:t xml:space="preserve"> ≈ 0,99 при всех углах), тогда как оператор Кэнни даёт F</w:t>
      </w:r>
      <w:r>
        <w:rPr>
          <w:i w:val="0"/>
          <w:vertAlign w:val="subscript"/>
        </w:rPr>
        <w:t>1</w:t>
      </w:r>
      <w:r>
        <w:rPr>
          <w:i w:val="0"/>
        </w:rPr>
        <w:t xml:space="preserve"> = 0,000 при каждой из двенадцати ориентаций. Конфигурация с единственным направлением освещения демонстрирует предсказанную «слепую зону»: F</w:t>
      </w:r>
      <w:r>
        <w:rPr>
          <w:i w:val="0"/>
          <w:vertAlign w:val="subscript"/>
        </w:rPr>
        <w:t>1</w:t>
      </w:r>
      <w:r>
        <w:rPr>
          <w:i w:val="0"/>
        </w:rPr>
        <w:t xml:space="preserve"> падает до 0,232 при ориентации 135°, когда линия границы параллельна направлению освещения; уже при двух ортогональных направлениях провал исчезает (F</w:t>
      </w:r>
      <w:r>
        <w:rPr>
          <w:i w:val="0"/>
          <w:vertAlign w:val="subscript"/>
        </w:rPr>
        <w:t>1</w:t>
      </w:r>
      <w:r>
        <w:rPr>
          <w:i w:val="0"/>
        </w:rPr>
        <w:t xml:space="preserve"> ≥ 0,875 при всех углах), в полном согласии с формулой (5). Попиксельное совпадение карт для двух и четырёх направлений (предложение 1) подтверждено побитовой проверкой. На «звезде» из 16 секторов (все ориентации в одном кадре) F</w:t>
      </w:r>
      <w:r>
        <w:rPr>
          <w:i w:val="0"/>
          <w:vertAlign w:val="subscript"/>
        </w:rPr>
        <w:t>1</w:t>
      </w:r>
      <w:r>
        <w:rPr>
          <w:i w:val="0"/>
        </w:rPr>
        <w:t xml:space="preserve"> монотонно растёт с числом направлений: 0,797, 0,883 и 0,909 для одного, двух и восьми направлений соответственно; оператор Ди Дзензо даёт 0,890, оператор Кэнни — 0,852.</w:t>
      </w:r>
    </w:p>
    <w:p>
      <w:pPr>
        <w:ind w:firstLine="709"/>
        <w:jc w:val="both"/>
      </w:pPr>
      <w:r>
        <w:rPr>
          <w:i w:val="0"/>
        </w:rPr>
        <w:t>6.3. Естественные изображения. Таблица 2 приводит результаты на полном тестовом наборе коллекции BSDS500 [1] (200 изображений; эталон — объединение разметок всех аннотаторов; допуск 0,0075 диагонали; фиксированные пороги без подбора по набору, поэтому абсолютные значения ниже публикуемых в литературе, но сравнение методов между собой проведено в одинаковых условиях).</w:t>
      </w:r>
    </w:p>
    <w:p>
      <w:pPr>
        <w:jc w:val="left"/>
      </w:pPr>
      <w:r>
        <w:rPr>
          <w:b w:val="0"/>
          <w:i w:val="0"/>
        </w:rPr>
        <w:t>Таблица 2. Коллекция BSDS500, тестовый набор (200 изображений), фиксированные пороги</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i w:val="0"/>
              </w:rPr>
              <w:t>Метод</w:t>
            </w:r>
          </w:p>
        </w:tc>
        <w:tc>
          <w:tcPr>
            <w:tcW w:type="dxa" w:w="2160"/>
          </w:tcPr>
          <w:p>
            <w:pPr>
              <w:jc w:val="center"/>
            </w:pPr>
            <w:r>
              <w:rPr>
                <w:b/>
                <w:i w:val="0"/>
              </w:rPr>
              <w:t>F</w:t>
            </w:r>
            <w:r>
              <w:rPr>
                <w:b/>
                <w:i w:val="0"/>
                <w:vertAlign w:val="subscript"/>
              </w:rPr>
              <w:t>1</w:t>
            </w:r>
          </w:p>
        </w:tc>
        <w:tc>
          <w:tcPr>
            <w:tcW w:type="dxa" w:w="2160"/>
          </w:tcPr>
          <w:p>
            <w:pPr>
              <w:jc w:val="center"/>
            </w:pPr>
            <w:r>
              <w:rPr>
                <w:b/>
                <w:i w:val="0"/>
              </w:rPr>
              <w:t>Точность</w:t>
            </w:r>
          </w:p>
        </w:tc>
        <w:tc>
          <w:tcPr>
            <w:tcW w:type="dxa" w:w="2160"/>
          </w:tcPr>
          <w:p>
            <w:pPr>
              <w:jc w:val="center"/>
            </w:pPr>
            <w:r>
              <w:rPr>
                <w:b/>
                <w:i w:val="0"/>
              </w:rPr>
              <w:t>Полнота</w:t>
            </w:r>
          </w:p>
        </w:tc>
      </w:tr>
      <w:tr>
        <w:tc>
          <w:tcPr>
            <w:tcW w:type="dxa" w:w="2160"/>
          </w:tcPr>
          <w:p>
            <w:pPr>
              <w:jc w:val="left"/>
            </w:pPr>
            <w:r>
              <w:rPr>
                <w:i w:val="0"/>
              </w:rPr>
              <w:t>ДД</w:t>
            </w:r>
          </w:p>
        </w:tc>
        <w:tc>
          <w:tcPr>
            <w:tcW w:type="dxa" w:w="2160"/>
          </w:tcPr>
          <w:p>
            <w:pPr>
              <w:jc w:val="center"/>
            </w:pPr>
            <w:r>
              <w:rPr>
                <w:i w:val="0"/>
              </w:rPr>
              <w:t>0,575</w:t>
            </w:r>
          </w:p>
        </w:tc>
        <w:tc>
          <w:tcPr>
            <w:tcW w:type="dxa" w:w="2160"/>
          </w:tcPr>
          <w:p>
            <w:pPr>
              <w:jc w:val="center"/>
            </w:pPr>
            <w:r>
              <w:rPr>
                <w:i w:val="0"/>
              </w:rPr>
              <w:t>0,654</w:t>
            </w:r>
          </w:p>
        </w:tc>
        <w:tc>
          <w:tcPr>
            <w:tcW w:type="dxa" w:w="2160"/>
          </w:tcPr>
          <w:p>
            <w:pPr>
              <w:jc w:val="center"/>
            </w:pPr>
            <w:r>
              <w:rPr>
                <w:i w:val="0"/>
              </w:rPr>
              <w:t>0,531</w:t>
            </w:r>
          </w:p>
        </w:tc>
      </w:tr>
      <w:tr>
        <w:tc>
          <w:tcPr>
            <w:tcW w:type="dxa" w:w="2160"/>
          </w:tcPr>
          <w:p>
            <w:pPr>
              <w:jc w:val="left"/>
            </w:pPr>
            <w:r>
              <w:rPr>
                <w:i w:val="0"/>
              </w:rPr>
              <w:t>Кэнни</w:t>
            </w:r>
          </w:p>
        </w:tc>
        <w:tc>
          <w:tcPr>
            <w:tcW w:type="dxa" w:w="2160"/>
          </w:tcPr>
          <w:p>
            <w:pPr>
              <w:jc w:val="center"/>
            </w:pPr>
            <w:r>
              <w:rPr>
                <w:i w:val="0"/>
              </w:rPr>
              <w:t>0,566</w:t>
            </w:r>
          </w:p>
        </w:tc>
        <w:tc>
          <w:tcPr>
            <w:tcW w:type="dxa" w:w="2160"/>
          </w:tcPr>
          <w:p>
            <w:pPr>
              <w:jc w:val="center"/>
            </w:pPr>
            <w:r>
              <w:rPr>
                <w:i w:val="0"/>
              </w:rPr>
              <w:t>0,482</w:t>
            </w:r>
          </w:p>
        </w:tc>
        <w:tc>
          <w:tcPr>
            <w:tcW w:type="dxa" w:w="2160"/>
          </w:tcPr>
          <w:p>
            <w:pPr>
              <w:jc w:val="center"/>
            </w:pPr>
            <w:r>
              <w:rPr>
                <w:i w:val="0"/>
              </w:rPr>
              <w:t>0,774</w:t>
            </w:r>
          </w:p>
        </w:tc>
      </w:tr>
      <w:tr>
        <w:tc>
          <w:tcPr>
            <w:tcW w:type="dxa" w:w="2160"/>
          </w:tcPr>
          <w:p>
            <w:pPr>
              <w:jc w:val="left"/>
            </w:pPr>
            <w:r>
              <w:rPr>
                <w:i w:val="0"/>
              </w:rPr>
              <w:t>ВО</w:t>
            </w:r>
          </w:p>
        </w:tc>
        <w:tc>
          <w:tcPr>
            <w:tcW w:type="dxa" w:w="2160"/>
          </w:tcPr>
          <w:p>
            <w:pPr>
              <w:jc w:val="center"/>
            </w:pPr>
            <w:r>
              <w:rPr>
                <w:i w:val="0"/>
              </w:rPr>
              <w:t>0,552</w:t>
            </w:r>
          </w:p>
        </w:tc>
        <w:tc>
          <w:tcPr>
            <w:tcW w:type="dxa" w:w="2160"/>
          </w:tcPr>
          <w:p>
            <w:pPr>
              <w:jc w:val="center"/>
            </w:pPr>
            <w:r>
              <w:rPr>
                <w:i w:val="0"/>
              </w:rPr>
              <w:t>0,630</w:t>
            </w:r>
          </w:p>
        </w:tc>
        <w:tc>
          <w:tcPr>
            <w:tcW w:type="dxa" w:w="2160"/>
          </w:tcPr>
          <w:p>
            <w:pPr>
              <w:jc w:val="center"/>
            </w:pPr>
            <w:r>
              <w:rPr>
                <w:i w:val="0"/>
              </w:rPr>
              <w:t>0,509</w:t>
            </w:r>
          </w:p>
        </w:tc>
      </w:tr>
      <w:tr>
        <w:tc>
          <w:tcPr>
            <w:tcW w:type="dxa" w:w="2160"/>
          </w:tcPr>
          <w:p>
            <w:pPr>
              <w:jc w:val="left"/>
            </w:pPr>
            <w:r>
              <w:rPr>
                <w:i w:val="0"/>
              </w:rPr>
              <w:t>Превитт</w:t>
            </w:r>
          </w:p>
        </w:tc>
        <w:tc>
          <w:tcPr>
            <w:tcW w:type="dxa" w:w="2160"/>
          </w:tcPr>
          <w:p>
            <w:pPr>
              <w:jc w:val="center"/>
            </w:pPr>
            <w:r>
              <w:rPr>
                <w:i w:val="0"/>
              </w:rPr>
              <w:t>0,543</w:t>
            </w:r>
          </w:p>
        </w:tc>
        <w:tc>
          <w:tcPr>
            <w:tcW w:type="dxa" w:w="2160"/>
          </w:tcPr>
          <w:p>
            <w:pPr>
              <w:jc w:val="center"/>
            </w:pPr>
            <w:r>
              <w:rPr>
                <w:i w:val="0"/>
              </w:rPr>
              <w:t>0,582</w:t>
            </w:r>
          </w:p>
        </w:tc>
        <w:tc>
          <w:tcPr>
            <w:tcW w:type="dxa" w:w="2160"/>
          </w:tcPr>
          <w:p>
            <w:pPr>
              <w:jc w:val="center"/>
            </w:pPr>
            <w:r>
              <w:rPr>
                <w:i w:val="0"/>
              </w:rPr>
              <w:t>0,529</w:t>
            </w:r>
          </w:p>
        </w:tc>
      </w:tr>
      <w:tr>
        <w:tc>
          <w:tcPr>
            <w:tcW w:type="dxa" w:w="2160"/>
          </w:tcPr>
          <w:p>
            <w:pPr>
              <w:jc w:val="left"/>
            </w:pPr>
            <w:r>
              <w:rPr>
                <w:i w:val="0"/>
              </w:rPr>
              <w:t>Собель</w:t>
            </w:r>
          </w:p>
        </w:tc>
        <w:tc>
          <w:tcPr>
            <w:tcW w:type="dxa" w:w="2160"/>
          </w:tcPr>
          <w:p>
            <w:pPr>
              <w:jc w:val="center"/>
            </w:pPr>
            <w:r>
              <w:rPr>
                <w:i w:val="0"/>
              </w:rPr>
              <w:t>0,541</w:t>
            </w:r>
          </w:p>
        </w:tc>
        <w:tc>
          <w:tcPr>
            <w:tcW w:type="dxa" w:w="2160"/>
          </w:tcPr>
          <w:p>
            <w:pPr>
              <w:jc w:val="center"/>
            </w:pPr>
            <w:r>
              <w:rPr>
                <w:i w:val="0"/>
              </w:rPr>
              <w:t>0,577</w:t>
            </w:r>
          </w:p>
        </w:tc>
        <w:tc>
          <w:tcPr>
            <w:tcW w:type="dxa" w:w="2160"/>
          </w:tcPr>
          <w:p>
            <w:pPr>
              <w:jc w:val="center"/>
            </w:pPr>
            <w:r>
              <w:rPr>
                <w:i w:val="0"/>
              </w:rPr>
              <w:t>0,530</w:t>
            </w:r>
          </w:p>
        </w:tc>
      </w:tr>
    </w:tbl>
    <w:p/>
    <w:p>
      <w:pPr>
        <w:ind w:firstLine="709"/>
        <w:jc w:val="both"/>
      </w:pPr>
      <w:r>
        <w:rPr>
          <w:i w:val="0"/>
        </w:rPr>
        <w:t>Все рассматриваемые рукотворные операторы существенно уступают современным обучаемым детекторам (на коллекции BSDS500 трансформерные архитектуры достигают согласованной меры около 0,82–0,84 [6]); работа не претендует на конкуренцию с ними — её предмет аналитический.</w:t>
      </w:r>
    </w:p>
    <w:p>
      <w:pPr>
        <w:ind w:firstLine="709"/>
        <w:jc w:val="both"/>
      </w:pPr>
      <w:r>
        <w:rPr>
          <w:i w:val="0"/>
        </w:rPr>
        <w:t>6.4. Эмпирическая проверка эквивалентности. Таблица 3 приводит ранговую корреляцию Спирмена между непрерывными (до бинаризации) картами отклика, подтверждающую теорему 1, а также изолирует эффект высотного члена сравнением α = 1 и α = 0. Высотный член возмущает ранговый порядок лишь на 2–3 % пикселей и на естественных изображениях в среднем не улучшает F</w:t>
      </w:r>
      <w:r>
        <w:rPr>
          <w:i w:val="0"/>
          <w:vertAlign w:val="subscript"/>
        </w:rPr>
        <w:t>1</w:t>
      </w:r>
      <w:r>
        <w:rPr>
          <w:i w:val="0"/>
        </w:rPr>
        <w:t xml:space="preserve"> (0,552 против 0,575 у оператора Ди Дзензо, таблица 2).</w:t>
      </w:r>
    </w:p>
    <w:p>
      <w:pPr>
        <w:jc w:val="left"/>
      </w:pPr>
      <w:r>
        <w:rPr>
          <w:b w:val="0"/>
          <w:i w:val="0"/>
        </w:rPr>
        <w:t>Таблица 3. Ранговая корреляция карт отклика (Спирмен)</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i w:val="0"/>
              </w:rPr>
              <w:t>Тип изображения</w:t>
            </w:r>
          </w:p>
        </w:tc>
        <w:tc>
          <w:tcPr>
            <w:tcW w:type="dxa" w:w="2880"/>
          </w:tcPr>
          <w:p>
            <w:pPr>
              <w:jc w:val="center"/>
            </w:pPr>
            <w:r>
              <w:rPr>
                <w:b/>
                <w:i w:val="0"/>
              </w:rPr>
              <w:t>ВО(α=0) и ДД</w:t>
            </w:r>
          </w:p>
        </w:tc>
        <w:tc>
          <w:tcPr>
            <w:tcW w:type="dxa" w:w="2880"/>
          </w:tcPr>
          <w:p>
            <w:pPr>
              <w:jc w:val="center"/>
            </w:pPr>
            <w:r>
              <w:rPr>
                <w:b/>
                <w:i w:val="0"/>
              </w:rPr>
              <w:t>ВО(α=1) и ВО(α=0)</w:t>
            </w:r>
          </w:p>
        </w:tc>
      </w:tr>
      <w:tr>
        <w:tc>
          <w:tcPr>
            <w:tcW w:type="dxa" w:w="2880"/>
          </w:tcPr>
          <w:p>
            <w:pPr>
              <w:jc w:val="left"/>
            </w:pPr>
            <w:r>
              <w:rPr>
                <w:i w:val="0"/>
              </w:rPr>
              <w:t>Изолюминантный патч</w:t>
            </w:r>
          </w:p>
        </w:tc>
        <w:tc>
          <w:tcPr>
            <w:tcW w:type="dxa" w:w="2880"/>
          </w:tcPr>
          <w:p>
            <w:pPr>
              <w:jc w:val="center"/>
            </w:pPr>
            <w:r>
              <w:rPr>
                <w:i w:val="0"/>
              </w:rPr>
              <w:t>1,000</w:t>
            </w:r>
          </w:p>
        </w:tc>
        <w:tc>
          <w:tcPr>
            <w:tcW w:type="dxa" w:w="2880"/>
          </w:tcPr>
          <w:p>
            <w:pPr>
              <w:jc w:val="center"/>
            </w:pPr>
            <w:r>
              <w:rPr>
                <w:i w:val="0"/>
              </w:rPr>
              <w:t>1,000</w:t>
            </w:r>
          </w:p>
        </w:tc>
      </w:tr>
      <w:tr>
        <w:tc>
          <w:tcPr>
            <w:tcW w:type="dxa" w:w="2880"/>
          </w:tcPr>
          <w:p>
            <w:pPr>
              <w:jc w:val="left"/>
            </w:pPr>
            <w:r>
              <w:rPr>
                <w:i w:val="0"/>
              </w:rPr>
              <w:t>Изолюминантные полосы, 30°</w:t>
            </w:r>
          </w:p>
        </w:tc>
        <w:tc>
          <w:tcPr>
            <w:tcW w:type="dxa" w:w="2880"/>
          </w:tcPr>
          <w:p>
            <w:pPr>
              <w:jc w:val="center"/>
            </w:pPr>
            <w:r>
              <w:rPr>
                <w:i w:val="0"/>
              </w:rPr>
              <w:t>0,996</w:t>
            </w:r>
          </w:p>
        </w:tc>
        <w:tc>
          <w:tcPr>
            <w:tcW w:type="dxa" w:w="2880"/>
          </w:tcPr>
          <w:p>
            <w:pPr>
              <w:jc w:val="center"/>
            </w:pPr>
            <w:r>
              <w:rPr>
                <w:i w:val="0"/>
              </w:rPr>
              <w:t>0,996</w:t>
            </w:r>
          </w:p>
        </w:tc>
      </w:tr>
      <w:tr>
        <w:tc>
          <w:tcPr>
            <w:tcW w:type="dxa" w:w="2880"/>
          </w:tcPr>
          <w:p>
            <w:pPr>
              <w:jc w:val="left"/>
            </w:pPr>
            <w:r>
              <w:rPr>
                <w:i w:val="0"/>
              </w:rPr>
              <w:t>Естественные фото (среднее)</w:t>
            </w:r>
          </w:p>
        </w:tc>
        <w:tc>
          <w:tcPr>
            <w:tcW w:type="dxa" w:w="2880"/>
          </w:tcPr>
          <w:p>
            <w:pPr>
              <w:jc w:val="center"/>
            </w:pPr>
            <w:r>
              <w:rPr>
                <w:i w:val="0"/>
              </w:rPr>
              <w:t>0,99</w:t>
            </w:r>
          </w:p>
        </w:tc>
        <w:tc>
          <w:tcPr>
            <w:tcW w:type="dxa" w:w="2880"/>
          </w:tcPr>
          <w:p>
            <w:pPr>
              <w:jc w:val="center"/>
            </w:pPr>
            <w:r>
              <w:rPr>
                <w:i w:val="0"/>
              </w:rPr>
              <w:t>0,97</w:t>
            </w:r>
          </w:p>
        </w:tc>
      </w:tr>
    </w:tbl>
    <w:p/>
    <w:p>
      <w:pPr>
        <w:ind w:firstLine="709"/>
        <w:jc w:val="both"/>
      </w:pPr>
      <w:r>
        <w:rPr>
          <w:i w:val="0"/>
        </w:rPr>
        <w:t>6.5. Контролируемый эксперимент с каналом глубины. Таблица 4 подтверждает теорему 2 на четырёх контролируемых конфигурациях 256×256: оператор виртуального освещения с глубиной в роли Z даёт F</w:t>
      </w:r>
      <w:r>
        <w:rPr>
          <w:i w:val="0"/>
          <w:vertAlign w:val="subscript"/>
        </w:rPr>
        <w:t>1</w:t>
      </w:r>
      <w:r>
        <w:rPr>
          <w:i w:val="0"/>
        </w:rPr>
        <w:t xml:space="preserve"> = 0,000 на чисто глубинной границе, а результаты при α = 1 и α = 0 неотличимы во всех случаях; симметричный четырёхканальный оператор Ди Дзензо корректно обрабатывает все конфигурации.</w:t>
      </w:r>
    </w:p>
    <w:p>
      <w:pPr>
        <w:jc w:val="left"/>
      </w:pPr>
      <w:r>
        <w:rPr>
          <w:b w:val="0"/>
          <w:i w:val="0"/>
        </w:rPr>
        <w:t>Таблица 4. Контролируемый эксперимент с каналом глубины: F</w:t>
      </w:r>
      <w:r>
        <w:rPr>
          <w:b w:val="0"/>
          <w:i w:val="0"/>
          <w:vertAlign w:val="subscript"/>
        </w:rPr>
        <w:t>1</w:t>
      </w:r>
      <w:r>
        <w:rPr>
          <w:b w:val="0"/>
          <w:i w:val="0"/>
        </w:rPr>
        <w:t xml:space="preserve"> при допуске 2 пикселя</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i w:val="0"/>
              </w:rPr>
              <w:t>Конфигурация</w:t>
            </w:r>
          </w:p>
        </w:tc>
        <w:tc>
          <w:tcPr>
            <w:tcW w:type="dxa" w:w="1728"/>
          </w:tcPr>
          <w:p>
            <w:pPr>
              <w:jc w:val="center"/>
            </w:pPr>
            <w:r>
              <w:rPr>
                <w:b/>
                <w:i w:val="0"/>
              </w:rPr>
              <w:t>ДД (цвет)</w:t>
            </w:r>
          </w:p>
        </w:tc>
        <w:tc>
          <w:tcPr>
            <w:tcW w:type="dxa" w:w="1728"/>
          </w:tcPr>
          <w:p>
            <w:pPr>
              <w:jc w:val="center"/>
            </w:pPr>
            <w:r>
              <w:rPr>
                <w:b/>
                <w:i w:val="0"/>
              </w:rPr>
              <w:t>ДД (цвет+глубина)</w:t>
            </w:r>
          </w:p>
        </w:tc>
        <w:tc>
          <w:tcPr>
            <w:tcW w:type="dxa" w:w="1728"/>
          </w:tcPr>
          <w:p>
            <w:pPr>
              <w:jc w:val="center"/>
            </w:pPr>
            <w:r>
              <w:rPr>
                <w:b/>
                <w:i w:val="0"/>
              </w:rPr>
              <w:t>ВО (α=1)</w:t>
            </w:r>
          </w:p>
        </w:tc>
        <w:tc>
          <w:tcPr>
            <w:tcW w:type="dxa" w:w="1728"/>
          </w:tcPr>
          <w:p>
            <w:pPr>
              <w:jc w:val="center"/>
            </w:pPr>
            <w:r>
              <w:rPr>
                <w:b/>
                <w:i w:val="0"/>
              </w:rPr>
              <w:t>ВО (α=0)</w:t>
            </w:r>
          </w:p>
        </w:tc>
      </w:tr>
      <w:tr>
        <w:tc>
          <w:tcPr>
            <w:tcW w:type="dxa" w:w="1728"/>
          </w:tcPr>
          <w:p>
            <w:pPr>
              <w:jc w:val="left"/>
            </w:pPr>
            <w:r>
              <w:rPr>
                <w:i w:val="0"/>
              </w:rPr>
              <w:t>Цветовая граница, глубина постоянна</w:t>
            </w:r>
          </w:p>
        </w:tc>
        <w:tc>
          <w:tcPr>
            <w:tcW w:type="dxa" w:w="1728"/>
          </w:tcPr>
          <w:p>
            <w:pPr>
              <w:jc w:val="center"/>
            </w:pPr>
            <w:r>
              <w:rPr>
                <w:i w:val="0"/>
              </w:rPr>
              <w:t>0,769</w:t>
            </w:r>
          </w:p>
        </w:tc>
        <w:tc>
          <w:tcPr>
            <w:tcW w:type="dxa" w:w="1728"/>
          </w:tcPr>
          <w:p>
            <w:pPr>
              <w:jc w:val="center"/>
            </w:pPr>
            <w:r>
              <w:rPr>
                <w:i w:val="0"/>
              </w:rPr>
              <w:t>0,769</w:t>
            </w:r>
          </w:p>
        </w:tc>
        <w:tc>
          <w:tcPr>
            <w:tcW w:type="dxa" w:w="1728"/>
          </w:tcPr>
          <w:p>
            <w:pPr>
              <w:jc w:val="center"/>
            </w:pPr>
            <w:r>
              <w:rPr>
                <w:i w:val="0"/>
              </w:rPr>
              <w:t>0,667</w:t>
            </w:r>
          </w:p>
        </w:tc>
        <w:tc>
          <w:tcPr>
            <w:tcW w:type="dxa" w:w="1728"/>
          </w:tcPr>
          <w:p>
            <w:pPr>
              <w:jc w:val="center"/>
            </w:pPr>
            <w:r>
              <w:rPr>
                <w:i w:val="0"/>
              </w:rPr>
              <w:t>0,667</w:t>
            </w:r>
          </w:p>
        </w:tc>
      </w:tr>
      <w:tr>
        <w:tc>
          <w:tcPr>
            <w:tcW w:type="dxa" w:w="1728"/>
          </w:tcPr>
          <w:p>
            <w:pPr>
              <w:jc w:val="left"/>
            </w:pPr>
            <w:r>
              <w:rPr>
                <w:i w:val="0"/>
              </w:rPr>
              <w:t>Глубинная граница, цвет постоянен</w:t>
            </w:r>
          </w:p>
        </w:tc>
        <w:tc>
          <w:tcPr>
            <w:tcW w:type="dxa" w:w="1728"/>
          </w:tcPr>
          <w:p>
            <w:pPr>
              <w:jc w:val="center"/>
            </w:pPr>
            <w:r>
              <w:rPr>
                <w:i w:val="0"/>
              </w:rPr>
              <w:t>0,000</w:t>
            </w:r>
          </w:p>
        </w:tc>
        <w:tc>
          <w:tcPr>
            <w:tcW w:type="dxa" w:w="1728"/>
          </w:tcPr>
          <w:p>
            <w:pPr>
              <w:jc w:val="center"/>
            </w:pPr>
            <w:r>
              <w:rPr>
                <w:i w:val="0"/>
              </w:rPr>
              <w:t>0,769</w:t>
            </w:r>
          </w:p>
        </w:tc>
        <w:tc>
          <w:tcPr>
            <w:tcW w:type="dxa" w:w="1728"/>
          </w:tcPr>
          <w:p>
            <w:pPr>
              <w:jc w:val="center"/>
            </w:pPr>
            <w:r>
              <w:rPr>
                <w:i w:val="0"/>
              </w:rPr>
              <w:t>0,000</w:t>
            </w:r>
          </w:p>
        </w:tc>
        <w:tc>
          <w:tcPr>
            <w:tcW w:type="dxa" w:w="1728"/>
          </w:tcPr>
          <w:p>
            <w:pPr>
              <w:jc w:val="center"/>
            </w:pPr>
            <w:r>
              <w:rPr>
                <w:i w:val="0"/>
              </w:rPr>
              <w:t>0,000</w:t>
            </w:r>
          </w:p>
        </w:tc>
      </w:tr>
      <w:tr>
        <w:tc>
          <w:tcPr>
            <w:tcW w:type="dxa" w:w="1728"/>
          </w:tcPr>
          <w:p>
            <w:pPr>
              <w:jc w:val="left"/>
            </w:pPr>
            <w:r>
              <w:rPr>
                <w:i w:val="0"/>
              </w:rPr>
              <w:t>Совпадающие границы</w:t>
            </w:r>
          </w:p>
        </w:tc>
        <w:tc>
          <w:tcPr>
            <w:tcW w:type="dxa" w:w="1728"/>
          </w:tcPr>
          <w:p>
            <w:pPr>
              <w:jc w:val="center"/>
            </w:pPr>
            <w:r>
              <w:rPr>
                <w:i w:val="0"/>
              </w:rPr>
              <w:t>0,769</w:t>
            </w:r>
          </w:p>
        </w:tc>
        <w:tc>
          <w:tcPr>
            <w:tcW w:type="dxa" w:w="1728"/>
          </w:tcPr>
          <w:p>
            <w:pPr>
              <w:jc w:val="center"/>
            </w:pPr>
            <w:r>
              <w:rPr>
                <w:i w:val="0"/>
              </w:rPr>
              <w:t>0,769</w:t>
            </w:r>
          </w:p>
        </w:tc>
        <w:tc>
          <w:tcPr>
            <w:tcW w:type="dxa" w:w="1728"/>
          </w:tcPr>
          <w:p>
            <w:pPr>
              <w:jc w:val="center"/>
            </w:pPr>
            <w:r>
              <w:rPr>
                <w:i w:val="0"/>
              </w:rPr>
              <w:t>0,667</w:t>
            </w:r>
          </w:p>
        </w:tc>
        <w:tc>
          <w:tcPr>
            <w:tcW w:type="dxa" w:w="1728"/>
          </w:tcPr>
          <w:p>
            <w:pPr>
              <w:jc w:val="center"/>
            </w:pPr>
            <w:r>
              <w:rPr>
                <w:i w:val="0"/>
              </w:rPr>
              <w:t>0,667</w:t>
            </w:r>
          </w:p>
        </w:tc>
      </w:tr>
      <w:tr>
        <w:tc>
          <w:tcPr>
            <w:tcW w:type="dxa" w:w="1728"/>
          </w:tcPr>
          <w:p>
            <w:pPr>
              <w:jc w:val="left"/>
            </w:pPr>
            <w:r>
              <w:rPr>
                <w:i w:val="0"/>
              </w:rPr>
              <w:t>Разнесённые границы</w:t>
            </w:r>
          </w:p>
        </w:tc>
        <w:tc>
          <w:tcPr>
            <w:tcW w:type="dxa" w:w="1728"/>
          </w:tcPr>
          <w:p>
            <w:pPr>
              <w:jc w:val="center"/>
            </w:pPr>
            <w:r>
              <w:rPr>
                <w:i w:val="0"/>
              </w:rPr>
              <w:t>0,722</w:t>
            </w:r>
          </w:p>
        </w:tc>
        <w:tc>
          <w:tcPr>
            <w:tcW w:type="dxa" w:w="1728"/>
          </w:tcPr>
          <w:p>
            <w:pPr>
              <w:jc w:val="center"/>
            </w:pPr>
            <w:r>
              <w:rPr>
                <w:i w:val="0"/>
              </w:rPr>
              <w:t>0,910</w:t>
            </w:r>
          </w:p>
        </w:tc>
        <w:tc>
          <w:tcPr>
            <w:tcW w:type="dxa" w:w="1728"/>
          </w:tcPr>
          <w:p>
            <w:pPr>
              <w:jc w:val="center"/>
            </w:pPr>
            <w:r>
              <w:rPr>
                <w:i w:val="0"/>
              </w:rPr>
              <w:t>0,636</w:t>
            </w:r>
          </w:p>
        </w:tc>
        <w:tc>
          <w:tcPr>
            <w:tcW w:type="dxa" w:w="1728"/>
          </w:tcPr>
          <w:p>
            <w:pPr>
              <w:jc w:val="center"/>
            </w:pPr>
            <w:r>
              <w:rPr>
                <w:i w:val="0"/>
              </w:rPr>
              <w:t>0,636</w:t>
            </w:r>
          </w:p>
        </w:tc>
      </w:tr>
      <w:tr>
        <w:tc>
          <w:tcPr>
            <w:tcW w:type="dxa" w:w="1728"/>
          </w:tcPr>
          <w:p>
            <w:pPr>
              <w:jc w:val="left"/>
            </w:pPr>
            <w:r>
              <w:rPr>
                <w:i w:val="0"/>
              </w:rPr>
              <w:t>Среднее</w:t>
            </w:r>
          </w:p>
        </w:tc>
        <w:tc>
          <w:tcPr>
            <w:tcW w:type="dxa" w:w="1728"/>
          </w:tcPr>
          <w:p>
            <w:pPr>
              <w:jc w:val="center"/>
            </w:pPr>
            <w:r>
              <w:rPr>
                <w:i w:val="0"/>
              </w:rPr>
              <w:t>0,565</w:t>
            </w:r>
          </w:p>
        </w:tc>
        <w:tc>
          <w:tcPr>
            <w:tcW w:type="dxa" w:w="1728"/>
          </w:tcPr>
          <w:p>
            <w:pPr>
              <w:jc w:val="center"/>
            </w:pPr>
            <w:r>
              <w:rPr>
                <w:i w:val="0"/>
              </w:rPr>
              <w:t>0,790</w:t>
            </w:r>
          </w:p>
        </w:tc>
        <w:tc>
          <w:tcPr>
            <w:tcW w:type="dxa" w:w="1728"/>
          </w:tcPr>
          <w:p>
            <w:pPr>
              <w:jc w:val="center"/>
            </w:pPr>
            <w:r>
              <w:rPr>
                <w:i w:val="0"/>
              </w:rPr>
              <w:t>0,490</w:t>
            </w:r>
          </w:p>
        </w:tc>
        <w:tc>
          <w:tcPr>
            <w:tcW w:type="dxa" w:w="1728"/>
          </w:tcPr>
          <w:p>
            <w:pPr>
              <w:jc w:val="center"/>
            </w:pPr>
            <w:r>
              <w:rPr>
                <w:i w:val="0"/>
              </w:rPr>
              <w:t>0,490</w:t>
            </w:r>
          </w:p>
        </w:tc>
      </w:tr>
    </w:tbl>
    <w:p/>
    <w:p>
      <w:pPr>
        <w:ind w:firstLine="709"/>
        <w:jc w:val="both"/>
      </w:pPr>
      <w:r>
        <w:rPr>
          <w:i w:val="0"/>
        </w:rPr>
        <w:t>6.6. Сравнение при согласованной конфигурации. Следствие 2 проверено непосредственно: сравнивались две реализации при одинаковой оценке производной (центральные разности), отсутствии предварительного сглаживания и одинаковом правиле бинаризации; измерение времени выполнено с чередованием операторов и перемешиванием порядка (замечание 2). При согласованной конфигурации тензорная форма оказывается одновременно быстрее (в 1,17 раза) и точнее. Видимое преимущество конфигураций виртуального освещения с малым числом направлений возникает лишь при сравнении со стандартной конфигурацией оператора Ди Дзензо (гауссово сглаживание и градиенты Собеля): отношение времён составляет 2,8 в пользу виртуального освещения, однако этот разрыв полностью объясняется различием конфигураций, а не структурой операторов.</w:t>
      </w:r>
    </w:p>
    <w:p>
      <w:pPr>
        <w:jc w:val="left"/>
      </w:pPr>
      <w:r>
        <w:rPr>
          <w:b w:val="0"/>
          <w:i w:val="0"/>
        </w:rPr>
        <w:t>Таблица 5. Согласованная конфигурация: время (медиана, 256×256) и средний F</w:t>
      </w:r>
      <w:r>
        <w:rPr>
          <w:b w:val="0"/>
          <w:i w:val="0"/>
          <w:vertAlign w:val="subscript"/>
        </w:rPr>
        <w:t>1</w:t>
      </w:r>
      <w:r>
        <w:rPr>
          <w:b w:val="0"/>
          <w:i w:val="0"/>
        </w:rPr>
        <w:t xml:space="preserve"> на синтетическом наборе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i w:val="0"/>
              </w:rPr>
              <w:t>Оператор</w:t>
            </w:r>
          </w:p>
        </w:tc>
        <w:tc>
          <w:tcPr>
            <w:tcW w:type="dxa" w:w="2880"/>
          </w:tcPr>
          <w:p>
            <w:pPr>
              <w:jc w:val="center"/>
            </w:pPr>
            <w:r>
              <w:rPr>
                <w:b/>
                <w:i w:val="0"/>
              </w:rPr>
              <w:t>Время, мс</w:t>
            </w:r>
          </w:p>
        </w:tc>
        <w:tc>
          <w:tcPr>
            <w:tcW w:type="dxa" w:w="2880"/>
          </w:tcPr>
          <w:p>
            <w:pPr>
              <w:jc w:val="center"/>
            </w:pPr>
            <w:r>
              <w:rPr>
                <w:b/>
                <w:i w:val="0"/>
              </w:rPr>
              <w:t>Средний F</w:t>
            </w:r>
            <w:r>
              <w:rPr>
                <w:b/>
                <w:i w:val="0"/>
                <w:vertAlign w:val="subscript"/>
              </w:rPr>
              <w:t>1</w:t>
            </w:r>
          </w:p>
        </w:tc>
      </w:tr>
      <w:tr>
        <w:tc>
          <w:tcPr>
            <w:tcW w:type="dxa" w:w="2880"/>
          </w:tcPr>
          <w:p>
            <w:pPr>
              <w:jc w:val="left"/>
            </w:pPr>
            <w:r>
              <w:rPr>
                <w:i w:val="0"/>
              </w:rPr>
              <w:t>ДД (замкнутая форма)</w:t>
            </w:r>
          </w:p>
        </w:tc>
        <w:tc>
          <w:tcPr>
            <w:tcW w:type="dxa" w:w="2880"/>
          </w:tcPr>
          <w:p>
            <w:pPr>
              <w:jc w:val="center"/>
            </w:pPr>
            <w:r>
              <w:rPr>
                <w:i w:val="0"/>
              </w:rPr>
              <w:t>4,9</w:t>
            </w:r>
          </w:p>
        </w:tc>
        <w:tc>
          <w:tcPr>
            <w:tcW w:type="dxa" w:w="2880"/>
          </w:tcPr>
          <w:p>
            <w:pPr>
              <w:jc w:val="center"/>
            </w:pPr>
            <w:r>
              <w:rPr>
                <w:i w:val="0"/>
              </w:rPr>
              <w:t>0,908</w:t>
            </w:r>
          </w:p>
        </w:tc>
      </w:tr>
      <w:tr>
        <w:tc>
          <w:tcPr>
            <w:tcW w:type="dxa" w:w="2880"/>
          </w:tcPr>
          <w:p>
            <w:pPr>
              <w:jc w:val="left"/>
            </w:pPr>
            <w:r>
              <w:rPr>
                <w:i w:val="0"/>
              </w:rPr>
              <w:t>ВО (2 направления)</w:t>
            </w:r>
          </w:p>
        </w:tc>
        <w:tc>
          <w:tcPr>
            <w:tcW w:type="dxa" w:w="2880"/>
          </w:tcPr>
          <w:p>
            <w:pPr>
              <w:jc w:val="center"/>
            </w:pPr>
            <w:r>
              <w:rPr>
                <w:i w:val="0"/>
              </w:rPr>
              <w:t>5,8</w:t>
            </w:r>
          </w:p>
        </w:tc>
        <w:tc>
          <w:tcPr>
            <w:tcW w:type="dxa" w:w="2880"/>
          </w:tcPr>
          <w:p>
            <w:pPr>
              <w:jc w:val="center"/>
            </w:pPr>
            <w:r>
              <w:rPr>
                <w:i w:val="0"/>
              </w:rPr>
              <w:t>0,703</w:t>
            </w:r>
          </w:p>
        </w:tc>
      </w:tr>
      <w:tr>
        <w:tc>
          <w:tcPr>
            <w:tcW w:type="dxa" w:w="2880"/>
          </w:tcPr>
          <w:p>
            <w:pPr>
              <w:jc w:val="left"/>
            </w:pPr>
            <w:r>
              <w:rPr>
                <w:i w:val="0"/>
              </w:rPr>
              <w:t>ДД, стандартная конфигурация</w:t>
            </w:r>
          </w:p>
        </w:tc>
        <w:tc>
          <w:tcPr>
            <w:tcW w:type="dxa" w:w="2880"/>
          </w:tcPr>
          <w:p>
            <w:pPr>
              <w:jc w:val="center"/>
            </w:pPr>
            <w:r>
              <w:rPr>
                <w:i w:val="0"/>
              </w:rPr>
              <w:t>16,4</w:t>
            </w:r>
          </w:p>
        </w:tc>
        <w:tc>
          <w:tcPr>
            <w:tcW w:type="dxa" w:w="2880"/>
          </w:tcPr>
          <w:p>
            <w:pPr>
              <w:jc w:val="center"/>
            </w:pPr>
            <w:r>
              <w:rPr>
                <w:i w:val="0"/>
              </w:rPr>
              <w:t>—</w:t>
            </w:r>
          </w:p>
        </w:tc>
      </w:tr>
    </w:tbl>
    <w:p/>
    <w:p>
      <w:pPr>
        <w:spacing w:before="240"/>
        <w:jc w:val="center"/>
      </w:pPr>
      <w:r>
        <w:rPr>
          <w:b/>
        </w:rPr>
        <w:t>7. СВЯЗАННЫЕ РАБОТЫ</w:t>
      </w:r>
    </w:p>
    <w:p>
      <w:pPr>
        <w:ind w:firstLine="709"/>
        <w:jc w:val="both"/>
      </w:pPr>
      <w:r>
        <w:rPr>
          <w:i w:val="0"/>
        </w:rPr>
        <w:t>Многоканальные градиенты восходят к Ди Дзензо [4]; Кумани [3] распространил подход на операторы второго порядка, Сапиро и Рингач [7] — на анизотропную диффузию векторнозначных изображений, ван де Вейер и др. [9] — на фотометрически инвариантные цветовые тензоры. Геометрическая трактовка изображения как двумерного многообразия, вложенного в пространство «координаты–цвет», развита в рамках подхода Бельтрами [8] и концептуально близка используемой здесь модели поверхностей высот. Современное состояние задачи выделения границ определяется обучаемыми методами — от свёрточного детектора [10] до трансформерных архитектур [6]; настоящая работа не конкурирует с ними, а устанавливает точное отношение между двумя рукотворными операторами и границы их класса. Насколько известно автору, явное сведение модели виртуального освещения к структурному тензору (теорема 1) и характеризация предела мультипликативной модуляции (теорема 2) в литературе ранее не описывались.</w:t>
      </w:r>
    </w:p>
    <w:p>
      <w:pPr>
        <w:spacing w:before="240"/>
        <w:jc w:val="center"/>
      </w:pPr>
      <w:r>
        <w:rPr>
          <w:b/>
        </w:rPr>
        <w:t>8. ЗАКЛЮЧЕНИЕ</w:t>
      </w:r>
    </w:p>
    <w:p>
      <w:pPr>
        <w:ind w:firstLine="709"/>
        <w:jc w:val="both"/>
      </w:pPr>
      <w:r>
        <w:rPr>
          <w:i w:val="0"/>
        </w:rPr>
        <w:t>Показано, что интуитивный оператор выделения цветовых границ на основе виртуального освещения при отключённой канально-асимметричной модуляции является переформулировкой структурного тензора Ди Дзензо: усреднённый по направлениям отклик есть строго монотонная функция √λ</w:t>
      </w:r>
      <w:r>
        <w:rPr>
          <w:i w:val="0"/>
          <w:vertAlign w:val="subscript"/>
        </w:rPr>
        <w:t>max</w:t>
      </w:r>
      <w:r>
        <w:rPr>
          <w:i w:val="0"/>
        </w:rPr>
        <w:t xml:space="preserve"> (через полный эллиптический интеграл второго рода), что влечёт совпадение пороговых бинаризованных карт границ. Единственный алгебраически отличный элемент — мультипликативный высотный член — структурно неспособен обнаруживать границы, определяемые только модулирующим каналом, что закрывает расширение на изображения с каналом глубины внутри рассматриваемого класса и оставляет открытыми лишь нелинейные механизмы. Практическим побочным результатом стала открытая библиотека из семи детекторов границ с воспроизводимым набором эталонных сравнений: полный исходный код, генераторы данных и сценарии экспериментов доступны по адресу https://github.com/Nervni-Sanya/Edge-detection-benchmark.</w:t>
      </w:r>
    </w:p>
    <w:p>
      <w:pPr>
        <w:ind w:firstLine="709"/>
        <w:jc w:val="both"/>
      </w:pPr>
      <w:r>
        <w:rPr>
          <w:i w:val="0"/>
        </w:rPr>
        <w:t>Более общий вывод: независимый повторный вывод известного оператора приобретает научную ценность тогда, когда точное отношение к первоисточнику установлено строго, а возможности и пределы новой параметризации охарактеризованы теоремами и контролируемыми экспериментами.</w:t>
      </w:r>
    </w:p>
    <w:p>
      <w:pPr>
        <w:spacing w:before="240"/>
        <w:jc w:val="center"/>
      </w:pPr>
      <w:r>
        <w:rPr>
          <w:b/>
        </w:rPr>
        <w:t>БЛАГОДАРНОСТИ</w:t>
      </w:r>
    </w:p>
    <w:p>
      <w:pPr>
        <w:ind w:firstLine="709"/>
        <w:jc w:val="both"/>
      </w:pPr>
      <w:r>
        <w:rPr>
          <w:i w:val="0"/>
        </w:rPr>
        <w:t>Автор выражает благодарность К. Ф. Латыпову за научное руководство и обсуждение работы. При разработке программной реализации, проведении вычислительных экспериментов и подготовке рукописи применялись инструменты генеративного искусственного интеллекта; постановка задачи, доказательства и выводы проверены автором, который несёт полную ответственность за содержание работы.</w:t>
      </w:r>
    </w:p>
    <w:p>
      <w:pPr>
        <w:spacing w:before="240"/>
        <w:jc w:val="center"/>
      </w:pPr>
      <w:r>
        <w:rPr>
          <w:b/>
        </w:rPr>
        <w:t>ИСТОЧНИКИ ФИНАНСИРОВАНИЯ</w:t>
      </w:r>
    </w:p>
    <w:p>
      <w:pPr>
        <w:ind w:firstLine="709"/>
        <w:jc w:val="both"/>
      </w:pPr>
      <w:r>
        <w:rPr>
          <w:i w:val="0"/>
        </w:rPr>
        <w:t>Данная работа финансировалась за счёт средств бюджета университета. Никаких дополнительных грантов на проведение или руководство данным конкретным исследованием получено не было.</w:t>
      </w:r>
    </w:p>
    <w:p>
      <w:pPr>
        <w:spacing w:before="240"/>
        <w:jc w:val="center"/>
      </w:pPr>
      <w:r>
        <w:rPr>
          <w:b/>
        </w:rPr>
        <w:t>КОНФЛИКТ ИНТЕРЕСОВ</w:t>
      </w:r>
    </w:p>
    <w:p>
      <w:pPr>
        <w:ind w:firstLine="709"/>
        <w:jc w:val="both"/>
      </w:pPr>
      <w:r>
        <w:rPr>
          <w:i w:val="0"/>
        </w:rPr>
        <w:t>Автор данной работы заявляет, что у него нет конфликта интересов.</w:t>
      </w:r>
    </w:p>
    <w:p>
      <w:pPr>
        <w:spacing w:before="240"/>
        <w:jc w:val="center"/>
      </w:pPr>
      <w:r>
        <w:rPr>
          <w:b/>
        </w:rPr>
        <w:t>СОБЛЮДЕНИЕ ЭТИЧЕСКИХ СТАНДАРТОВ</w:t>
      </w:r>
    </w:p>
    <w:p>
      <w:pPr>
        <w:ind w:firstLine="709"/>
        <w:jc w:val="both"/>
      </w:pPr>
      <w:r>
        <w:rPr>
          <w:i w:val="0"/>
        </w:rPr>
        <w:t>В данной работе отсутствуют исследования человека или животных.</w:t>
      </w:r>
    </w:p>
    <w:p>
      <w:pPr>
        <w:spacing w:before="240"/>
        <w:jc w:val="center"/>
      </w:pPr>
      <w:r>
        <w:rPr>
          <w:b/>
        </w:rPr>
        <w:t>СПИСОК ЛИТЕРАТУРЫ</w:t>
      </w:r>
    </w:p>
    <w:p>
      <w:pPr>
        <w:ind w:firstLine="0"/>
        <w:jc w:val="both"/>
      </w:pPr>
      <w:r>
        <w:rPr>
          <w:i w:val="0"/>
        </w:rPr>
        <w:t>1. P. Arbelaez, M. Maire, C. Fowlkes, and J. Malik, “Contour detection and hierarchical image segmentation,” IEEE Trans. Pattern Anal. Mach. Intell. 33 (5), 898–916 (2011). https://doi.org/10.1109/TPAMI.2010.161</w:t>
      </w:r>
    </w:p>
    <w:p>
      <w:pPr>
        <w:ind w:firstLine="0"/>
        <w:jc w:val="both"/>
      </w:pPr>
      <w:r>
        <w:rPr>
          <w:i w:val="0"/>
        </w:rPr>
        <w:t>2. J. Canny, “A computational approach to edge detection,” IEEE Trans. Pattern Anal. Mach. Intell. 8 (6), 679–698 (1986). https://doi.org/10.1109/TPAMI.1986.4767851</w:t>
      </w:r>
    </w:p>
    <w:p>
      <w:pPr>
        <w:ind w:firstLine="0"/>
        <w:jc w:val="both"/>
      </w:pPr>
      <w:r>
        <w:rPr>
          <w:i w:val="0"/>
        </w:rPr>
        <w:t>3. A. Cumani, “Edge detection in multispectral images,” CVGIP: Graphical Models and Image Processing 53 (1), 40–51 (1991).</w:t>
      </w:r>
    </w:p>
    <w:p>
      <w:pPr>
        <w:ind w:firstLine="0"/>
        <w:jc w:val="both"/>
      </w:pPr>
      <w:r>
        <w:rPr>
          <w:i w:val="0"/>
        </w:rPr>
        <w:t>4. S. Di Zenzo, “A note on the gradient of a multi-image,” Computer Vision, Graphics, and Image Processing 33 (1), 116–125 (1986). https://doi.org/10.1016/0734-189X(86)90223-9</w:t>
      </w:r>
    </w:p>
    <w:p>
      <w:pPr>
        <w:ind w:firstLine="0"/>
        <w:jc w:val="both"/>
      </w:pPr>
      <w:r>
        <w:rPr>
          <w:i w:val="0"/>
        </w:rPr>
        <w:t>5. А. А. Панченко, “Метод выделения границ цветных изображений на основе векторного освещения и адаптивных перестановок каналов,” в сб. трудов научной конференции ФТИ УУНиТ (Уфа, 2026).</w:t>
      </w:r>
    </w:p>
    <w:p>
      <w:pPr>
        <w:ind w:firstLine="0"/>
        <w:jc w:val="both"/>
      </w:pPr>
      <w:r>
        <w:rPr>
          <w:i w:val="0"/>
        </w:rPr>
        <w:t>6. M. Pu, Y. Huang, Y. Liu, Q. Guan, and H. Ling, “EDTER: Edge detection with transformer,” in Proc. IEEE/CVF Conf. on Computer Vision and Pattern Recognition (2022), pp. 1402–1412.</w:t>
      </w:r>
    </w:p>
    <w:p>
      <w:pPr>
        <w:ind w:firstLine="0"/>
        <w:jc w:val="both"/>
      </w:pPr>
      <w:r>
        <w:rPr>
          <w:i w:val="0"/>
        </w:rPr>
        <w:t>7. G. Sapiro and D. L. Ringach, “Anisotropic diffusion of multivalued images with applications to color filtering,” IEEE Trans. Image Process. 5 (11), 1582–1586 (1996).</w:t>
      </w:r>
    </w:p>
    <w:p>
      <w:pPr>
        <w:ind w:firstLine="0"/>
        <w:jc w:val="both"/>
      </w:pPr>
      <w:r>
        <w:rPr>
          <w:i w:val="0"/>
        </w:rPr>
        <w:t>8. N. Sochen, R. Kimmel, and R. Malladi, “A general framework for low level vision,” IEEE Trans. Image Process. 7 (3), 310–318 (1998).</w:t>
      </w:r>
    </w:p>
    <w:p>
      <w:pPr>
        <w:ind w:firstLine="0"/>
        <w:jc w:val="both"/>
      </w:pPr>
      <w:r>
        <w:rPr>
          <w:i w:val="0"/>
        </w:rPr>
        <w:t>9. J. van de Weijer, T. Gevers, and A. W. M. Smeulders, “Robust photometric invariant features from the color tensor,” IEEE Trans. Image Process. 15 (1), 118–127 (2006).</w:t>
      </w:r>
    </w:p>
    <w:p>
      <w:pPr>
        <w:ind w:firstLine="0"/>
        <w:jc w:val="both"/>
      </w:pPr>
      <w:r>
        <w:rPr>
          <w:i w:val="0"/>
        </w:rPr>
        <w:t>10. S. Xie and Z. Tu, “Holistically-nested edge detection,” in Proc. IEEE Int. Conf. on Computer Vision (2015), pp. 1395–1403.</w:t>
      </w:r>
    </w:p>
    <w:p>
      <w:pPr>
        <w:spacing w:before="240"/>
        <w:jc w:val="center"/>
      </w:pPr>
      <w:r>
        <w:rPr>
          <w:b/>
        </w:rPr>
        <w:t>КРАТКИЕ БИОГРАФИИ И ФОТОГРАФИИ АВТОРОВ</w:t>
      </w:r>
    </w:p>
    <w:p>
      <w:pPr>
        <w:ind w:firstLine="709"/>
        <w:jc w:val="both"/>
      </w:pPr>
      <w:r>
        <w:rPr>
          <w:i w:val="0"/>
        </w:rPr>
        <w:t>Панченко Александр Алексеевич (Panchenko Aleksandr Alekseevich) — (заполнить: краткая биография, учёная степень/статус, должность, область научных интересов; приложить фотографию).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