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</w:pPr>
      <w:r>
        <w:rPr>
          <w:rFonts w:ascii="Consolas" w:hAnsi="Consolas"/>
          <w:b/>
          <w:caps/>
          <w:color w:val="7A8399"/>
          <w:sz w:val="18"/>
        </w:rPr>
        <w:t>AeroAdmin AFM · Documentación de diagramas</w:t>
      </w:r>
    </w:p>
    <w:p>
      <w:pPr>
        <w:spacing w:before="240" w:after="160"/>
      </w:pPr>
      <w:r>
        <w:rPr>
          <w:rFonts w:ascii="Calibri" w:hAnsi="Calibri"/>
          <w:b/>
          <w:color w:val="0B5F2D"/>
          <w:sz w:val="72"/>
        </w:rPr>
        <w:t>Diagramas del sistema</w:t>
      </w:r>
    </w:p>
    <w:p>
      <w:pPr>
        <w:spacing w:before="0" w:after="480" w:line="312" w:lineRule="auto"/>
      </w:pPr>
      <w:r>
        <w:rPr>
          <w:color w:val="4F5D75"/>
          <w:sz w:val="26"/>
        </w:rPr>
        <w:t>Siete diagramas editoriales del sistema AeroAdmin AFM, generados con la skill cathrynlavery/diagram-design v2.2 y la brand skin del proyecto (verde DJI Agras como accent, alert red como concern per-node).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8"/>
              </w:rPr>
              <w:t>Proyecto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color w:val="1A2E22"/>
                <w:sz w:val="22"/>
              </w:rPr>
              <w:t>AeroAdmin AFM — Valle del Cauca, Colombia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8"/>
              </w:rPr>
              <w:t>Stack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color w:val="1A2E22"/>
                <w:sz w:val="22"/>
              </w:rPr>
              <w:t>Next.js 16 + React 19 + TypeScript + MapLibre 6.0 + PostGIS 3.4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8"/>
              </w:rPr>
              <w:t>Versión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color w:val="1A2E22"/>
                <w:sz w:val="22"/>
              </w:rPr>
              <w:t>2026-08-15 · sprint S6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8"/>
              </w:rPr>
              <w:t>Mantenedor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color w:val="1A2E22"/>
                <w:sz w:val="22"/>
              </w:rPr>
              <w:t>@agFab (single contributor)</w:t>
            </w:r>
          </w:p>
        </w:tc>
      </w:tr>
    </w:tbl>
    <w:p>
      <w:pPr>
        <w:pBdr>
          <w:bottom w:val="single" w:sz="6" w:space="1" w:color="0B5F2D"/>
        </w:pBdr>
      </w:pPr>
    </w:p>
    <w:p>
      <w:pPr>
        <w:spacing w:before="160" w:after="240"/>
      </w:pPr>
      <w:r>
        <w:rPr>
          <w:b/>
        </w:rPr>
        <w:t>Contenido</w:t>
      </w:r>
    </w:p>
    <w:p>
      <w:pPr>
        <w:spacing w:after="60"/>
        <w:ind w:left="340"/>
      </w:pPr>
      <w:r>
        <w:rPr>
          <w:rFonts w:ascii="Consolas" w:hAnsi="Consolas"/>
          <w:b/>
          <w:color w:val="7A8399"/>
          <w:sz w:val="20"/>
        </w:rPr>
        <w:t xml:space="preserve">1.  </w:t>
      </w:r>
      <w:r>
        <w:rPr>
          <w:color w:val="1A2E22"/>
          <w:sz w:val="22"/>
        </w:rPr>
        <w:t>Resumen y catálogo</w:t>
      </w:r>
    </w:p>
    <w:p>
      <w:pPr>
        <w:spacing w:after="60"/>
        <w:ind w:left="340"/>
      </w:pPr>
      <w:r>
        <w:rPr>
          <w:rFonts w:ascii="Consolas" w:hAnsi="Consolas"/>
          <w:b/>
          <w:color w:val="7A8399"/>
          <w:sz w:val="20"/>
        </w:rPr>
        <w:t xml:space="preserve">2.  </w:t>
      </w:r>
      <w:r>
        <w:rPr>
          <w:color w:val="1A2E22"/>
          <w:sz w:val="22"/>
        </w:rPr>
        <w:t>01 — System Architecture</w:t>
      </w:r>
    </w:p>
    <w:p>
      <w:pPr>
        <w:spacing w:after="60"/>
        <w:ind w:left="340"/>
      </w:pPr>
      <w:r>
        <w:rPr>
          <w:rFonts w:ascii="Consolas" w:hAnsi="Consolas"/>
          <w:b/>
          <w:color w:val="7A8399"/>
          <w:sz w:val="20"/>
        </w:rPr>
        <w:t xml:space="preserve">3.  </w:t>
      </w:r>
      <w:r>
        <w:rPr>
          <w:color w:val="1A2E22"/>
          <w:sz w:val="22"/>
        </w:rPr>
        <w:t>02 — DJI Data Pipeline</w:t>
      </w:r>
    </w:p>
    <w:p>
      <w:pPr>
        <w:spacing w:after="60"/>
        <w:ind w:left="340"/>
      </w:pPr>
      <w:r>
        <w:rPr>
          <w:rFonts w:ascii="Consolas" w:hAnsi="Consolas"/>
          <w:b/>
          <w:color w:val="7A8399"/>
          <w:sz w:val="20"/>
        </w:rPr>
        <w:t xml:space="preserve">4.  </w:t>
      </w:r>
      <w:r>
        <w:rPr>
          <w:color w:val="1A2E22"/>
          <w:sz w:val="22"/>
        </w:rPr>
        <w:t>03 — Fumigation Cadence State Machine</w:t>
      </w:r>
    </w:p>
    <w:p>
      <w:pPr>
        <w:spacing w:after="60"/>
        <w:ind w:left="340"/>
      </w:pPr>
      <w:r>
        <w:rPr>
          <w:rFonts w:ascii="Consolas" w:hAnsi="Consolas"/>
          <w:b/>
          <w:color w:val="7A8399"/>
          <w:sz w:val="20"/>
        </w:rPr>
        <w:t xml:space="preserve">5.  </w:t>
      </w:r>
      <w:r>
        <w:rPr>
          <w:color w:val="1A2E22"/>
          <w:sz w:val="22"/>
        </w:rPr>
        <w:t>04 — Data Model (PostGIS)</w:t>
      </w:r>
    </w:p>
    <w:p>
      <w:pPr>
        <w:spacing w:after="60"/>
        <w:ind w:left="340"/>
      </w:pPr>
      <w:r>
        <w:rPr>
          <w:rFonts w:ascii="Consolas" w:hAnsi="Consolas"/>
          <w:b/>
          <w:color w:val="7A8399"/>
          <w:sz w:val="20"/>
        </w:rPr>
        <w:t xml:space="preserve">6.  </w:t>
      </w:r>
      <w:r>
        <w:rPr>
          <w:color w:val="1A2E22"/>
          <w:sz w:val="22"/>
        </w:rPr>
        <w:t>05 — Auth Flow (NextAuth v5 + RBAC)</w:t>
      </w:r>
    </w:p>
    <w:p>
      <w:pPr>
        <w:spacing w:after="60"/>
        <w:ind w:left="340"/>
      </w:pPr>
      <w:r>
        <w:rPr>
          <w:rFonts w:ascii="Consolas" w:hAnsi="Consolas"/>
          <w:b/>
          <w:color w:val="7A8399"/>
          <w:sz w:val="20"/>
        </w:rPr>
        <w:t xml:space="preserve">7.  </w:t>
      </w:r>
      <w:r>
        <w:rPr>
          <w:color w:val="1A2E22"/>
          <w:sz w:val="22"/>
        </w:rPr>
        <w:t>06 — RBAC Matrix</w:t>
      </w:r>
    </w:p>
    <w:p>
      <w:pPr>
        <w:spacing w:after="60"/>
        <w:ind w:left="340"/>
      </w:pPr>
      <w:r>
        <w:rPr>
          <w:rFonts w:ascii="Consolas" w:hAnsi="Consolas"/>
          <w:b/>
          <w:color w:val="7A8399"/>
          <w:sz w:val="20"/>
        </w:rPr>
        <w:t xml:space="preserve">8.  </w:t>
      </w:r>
      <w:r>
        <w:rPr>
          <w:color w:val="1A2E22"/>
          <w:sz w:val="22"/>
        </w:rPr>
        <w:t>07 — Page Hierarchy (Next.js App Router)</w:t>
      </w:r>
    </w:p>
    <w:p>
      <w:pPr>
        <w:spacing w:after="60"/>
        <w:ind w:left="340"/>
      </w:pPr>
      <w:r>
        <w:rPr>
          <w:rFonts w:ascii="Consolas" w:hAnsi="Consolas"/>
          <w:b/>
          <w:color w:val="7A8399"/>
          <w:sz w:val="20"/>
        </w:rPr>
        <w:t xml:space="preserve">A.  </w:t>
      </w:r>
      <w:r>
        <w:rPr>
          <w:color w:val="1A2E22"/>
          <w:sz w:val="22"/>
        </w:rPr>
        <w:t>Apéndice A — Imágenes reusables (paths)</w:t>
      </w:r>
    </w:p>
    <w:p>
      <w:pPr>
        <w:spacing w:after="60"/>
        <w:ind w:left="340"/>
      </w:pPr>
      <w:r>
        <w:rPr>
          <w:rFonts w:ascii="Consolas" w:hAnsi="Consolas"/>
          <w:b/>
          <w:color w:val="7A8399"/>
          <w:sz w:val="20"/>
        </w:rPr>
        <w:t xml:space="preserve">B.  </w:t>
      </w:r>
      <w:r>
        <w:rPr>
          <w:color w:val="1A2E22"/>
          <w:sz w:val="22"/>
        </w:rPr>
        <w:t>Apéndice B — Cómo extender el set</w:t>
      </w:r>
    </w:p>
    <w:p>
      <w:r>
        <w:br w:type="page"/>
      </w:r>
    </w:p>
    <w:p>
      <w:pPr>
        <w:spacing w:before="0" w:after="160"/>
        <w:pBdr>
          <w:bottom w:val="single" w:sz="6" w:space="1" w:color="0B5F2D"/>
        </w:pBdr>
      </w:pPr>
      <w:r>
        <w:rPr>
          <w:b/>
          <w:color w:val="1A2E22"/>
          <w:sz w:val="40"/>
        </w:rPr>
        <w:t>1.  Resumen y catálogo</w:t>
      </w:r>
    </w:p>
    <w:p>
      <w:pPr>
        <w:spacing w:before="160" w:after="200" w:line="336" w:lineRule="auto"/>
      </w:pPr>
      <w:r>
        <w:t xml:space="preserve">Los 7 diagramas cubren el sistema a 2 niveles de detalle: 3 de overview (architecture, pipeline, state machine) y 4 de detalle (data model, auth flow, RBAC matrix, page hierarchy). Todos están en HTML self-contained con inline SVG — se abren en cualquier browser sin build step, y los PNGs reusables están en </w:t>
      </w:r>
      <w:r>
        <w:rPr>
          <w:rFonts w:ascii="Consolas" w:hAnsi="Consolas"/>
        </w:rPr>
        <w:t>`docs/diagrams/assets/`</w:t>
      </w:r>
      <w:r>
        <w:t xml:space="preserve"> (ver Apéndice A).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2835"/>
        <w:gridCol w:w="1701"/>
        <w:gridCol w:w="4535"/>
      </w:tblGrid>
      <w:tr>
        <w:tc>
          <w:tcPr>
            <w:tcW w:type="dxa" w:w="680"/>
            <w:vAlign w:val="center"/>
            <w:shd w:val="clear" w:color="auto" w:fill="0B5F2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vAlign w:val="center"/>
            <w:shd w:val="clear" w:color="auto" w:fill="0B5F2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Diagrama</w:t>
            </w:r>
          </w:p>
        </w:tc>
        <w:tc>
          <w:tcPr>
            <w:tcW w:type="dxa" w:w="1701"/>
            <w:vAlign w:val="center"/>
            <w:shd w:val="clear" w:color="auto" w:fill="0B5F2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535"/>
            <w:vAlign w:val="center"/>
            <w:shd w:val="clear" w:color="auto" w:fill="0B5F2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Qué muestra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color w:val="1A2E22"/>
                <w:sz w:val="20"/>
              </w:rPr>
              <w:t>System Architecture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architecture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color w:val="1A2E22"/>
                <w:sz w:val="19"/>
              </w:rPr>
              <w:t>Flujo end-to-end del sistema en 3 zonas: DJI Sources (drone + SmartFarm + kr-ag2-api), Scraper &amp; Pipeline (Playwright client + JSON exports + run-pipeline.js), y AeroAdmin App (Postgres+PostGIS focal + V0 adapter + Next.js + User). Reemplaza el ASCII art de `docs/ARCHITECTURE.md §1`.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color w:val="1A2E22"/>
                <w:sz w:val="20"/>
              </w:rPr>
              <w:t>DJI Data Pipeline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architecture (process-style)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color w:val="1A2E22"/>
                <w:sz w:val="19"/>
              </w:rPr>
              <w:t>Los 9 pasos idempotentes de `scripts/run-pipeline.js` en 2 filas (5+4). El wrap-around dashed conecta el fin de la fila 1 con el inicio de la fila 2. Cada paso muestra el script que lo ejecuta y el artefacto que escribe (JSON file o tabla PostGIS).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color w:val="1A2E22"/>
                <w:sz w:val="20"/>
              </w:rPr>
              <w:t>Fumigation Cadence State Machine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state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color w:val="1A2E22"/>
                <w:sz w:val="19"/>
              </w:rPr>
              <w:t>Máquina de estados de cadencia: `no_history → ok → due_soon → overdue` con la flecha de recovery `overdue → ok` (accent verde). Cada estado muestra el guard (`diffDays = (now - next_due_date) / 86_400_000`) y los self-loops `tick` (tiempo que pasa sin fumigación nueva).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color w:val="1A2E22"/>
                <w:sz w:val="20"/>
              </w:rPr>
              <w:t>Data Model (PostGIS)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er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color w:val="1A2E22"/>
                <w:sz w:val="19"/>
              </w:rPr>
              <w:t>5 tablas núcleo de PostGIS con sus campos clave, PKs/FKs y cardinalidades. `dji_parcels` es el aggregate root con relación 1:N a `dji_flights` y `dji_fumigations`, y 1:1 con `dji_fumigation_schedule`. `djiag_health` es singleton (1 sola fila) sin FKs.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05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color w:val="1A2E22"/>
                <w:sz w:val="20"/>
              </w:rPr>
              <w:t>Auth Flow (NextAuth v5 + RBAC)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sequence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color w:val="1A2E22"/>
                <w:sz w:val="19"/>
              </w:rPr>
              <w:t>Secuencia del login con NextAuth v5: User → Next.js Server → NextAuth → Postgres. `alt` fragment con la rama de error (credenciales inválidas, en concern red) y la rama de éxito (Set-Cookie + 302 /). La segunda parte muestra cómo `auth()` valida el JWT en cada request posterior y aplica el role gate.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06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color w:val="1A2E22"/>
                <w:sz w:val="20"/>
              </w:rPr>
              <w:t>RBAC Matrix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custom grid (RBAC matrix)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color w:val="1A2E22"/>
                <w:sz w:val="19"/>
              </w:rPr>
              <w:t>Grilla 9 páginas × 3 roles con la acción semántica del server-side gate por celda: `view` (allow, verde), `redirect("/")` (ámbar), `notFound() 404` (rojo), `→ /login` (gris, sin sesión). Reemplaza la tabla markdown de `docs/AEROADMIN-AFM-OVERVIEW.md §6`.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07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color w:val="1A2E22"/>
                <w:sz w:val="20"/>
              </w:rPr>
              <w:t>Page Hierarchy (Next.js App Router)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tree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color w:val="1A2E22"/>
                <w:sz w:val="19"/>
              </w:rPr>
              <w:t>Jerarquía 3 niveles de `app/`: root → 5 grupos (Home, Map, Parcels, History, Admin) + 1 hoja Auth (/login) → 10 páginas tier 2 → 1 nieto (/parcelas/[id]/timeline). /devices y /admin/orphan-fumigations marcados como role-gated (admin only). /history marcado como DEPRECATED.</w:t>
            </w:r>
          </w:p>
        </w:tc>
      </w:tr>
    </w:tbl>
    <w:p>
      <w:r>
        <w:br w:type="page"/>
      </w:r>
    </w:p>
    <w:p>
      <w:pPr>
        <w:spacing w:before="0" w:after="80"/>
        <w:pBdr>
          <w:bottom w:val="single" w:sz="6" w:space="1" w:color="0B5F2D"/>
        </w:pBdr>
      </w:pPr>
      <w:r>
        <w:rPr>
          <w:rFonts w:ascii="Consolas" w:hAnsi="Consolas"/>
          <w:b/>
          <w:color w:val="0B5F2D"/>
          <w:sz w:val="40"/>
        </w:rPr>
        <w:t xml:space="preserve">01  </w:t>
      </w:r>
      <w:r>
        <w:rPr>
          <w:b/>
          <w:color w:val="1A2E22"/>
          <w:sz w:val="40"/>
        </w:rPr>
        <w:t>System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Tipo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20"/>
              </w:rPr>
              <w:t>architecture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Foco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Postgres+PostGIS (DB como corazón del sistema)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Wireado en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docs/ARCHITECTURE.md §1 (callout al HTML)</w:t>
            </w:r>
          </w:p>
        </w:tc>
      </w:tr>
    </w:tbl>
    <w:p>
      <w:pPr>
        <w:spacing w:before="200" w:after="200" w:line="336" w:lineRule="auto"/>
      </w:pPr>
      <w:r>
        <w:rPr>
          <w:color w:val="1A2E22"/>
          <w:sz w:val="22"/>
        </w:rPr>
        <w:t>Flujo end-to-end del sistema en 3 zonas: DJI Sources (drone + SmartFarm + kr-ag2-api), Scraper &amp; Pipeline (Playwright client + JSON exports + run-pipeline.js), y AeroAdmin App (Postgres+PostGIS focal + V0 adapter + Next.js + User). Reemplaza el ASCII art de `docs/ARCHITECTURE.md §1`.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38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38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onsolas" w:hAnsi="Consolas"/>
          <w:i/>
          <w:color w:val="7A8399"/>
          <w:sz w:val="17"/>
        </w:rPr>
        <w:t>Figura 1 — System Architecture · docs/diagrams/01-system-architecture.html</w:t>
      </w:r>
    </w:p>
    <w:p>
      <w:r>
        <w:br w:type="page"/>
      </w:r>
    </w:p>
    <w:p>
      <w:pPr>
        <w:spacing w:before="0" w:after="80"/>
        <w:pBdr>
          <w:bottom w:val="single" w:sz="6" w:space="1" w:color="0B5F2D"/>
        </w:pBdr>
      </w:pPr>
      <w:r>
        <w:rPr>
          <w:rFonts w:ascii="Consolas" w:hAnsi="Consolas"/>
          <w:b/>
          <w:color w:val="0B5F2D"/>
          <w:sz w:val="40"/>
        </w:rPr>
        <w:t xml:space="preserve">02  </w:t>
      </w:r>
      <w:r>
        <w:rPr>
          <w:b/>
          <w:color w:val="1A2E22"/>
          <w:sz w:val="40"/>
        </w:rPr>
        <w:t>DJI Data Pipeline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Tipo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20"/>
              </w:rPr>
              <w:t>architecture (process-style)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Foco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Paso 4 — Spatial join (la única transformación no-trivial)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Wireado en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docs/ARCHITECTURE.md §1 + docs/DJI_SCRAPER.md TL;DR</w:t>
            </w:r>
          </w:p>
        </w:tc>
      </w:tr>
    </w:tbl>
    <w:p>
      <w:pPr>
        <w:spacing w:before="200" w:after="200" w:line="336" w:lineRule="auto"/>
      </w:pPr>
      <w:r>
        <w:rPr>
          <w:color w:val="1A2E22"/>
          <w:sz w:val="22"/>
        </w:rPr>
        <w:t>Los 9 pasos idempotentes de `scripts/run-pipeline.js` en 2 filas (5+4). El wrap-around dashed conecta el fin de la fila 1 con el inicio de la fila 2. Cada paso muestra el script que lo ejecuta y el artefacto que escribe (JSON file o tabla PostGIS).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91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ji-data-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9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onsolas" w:hAnsi="Consolas"/>
          <w:i/>
          <w:color w:val="7A8399"/>
          <w:sz w:val="17"/>
        </w:rPr>
        <w:t>Figura 2 — DJI Data Pipeline · docs/diagrams/02-dji-data-pipeline.html</w:t>
      </w:r>
    </w:p>
    <w:p>
      <w:r>
        <w:br w:type="page"/>
      </w:r>
    </w:p>
    <w:p>
      <w:pPr>
        <w:spacing w:before="0" w:after="80"/>
        <w:pBdr>
          <w:bottom w:val="single" w:sz="6" w:space="1" w:color="0B5F2D"/>
        </w:pBdr>
      </w:pPr>
      <w:r>
        <w:rPr>
          <w:rFonts w:ascii="Consolas" w:hAnsi="Consolas"/>
          <w:b/>
          <w:color w:val="0B5F2D"/>
          <w:sz w:val="40"/>
        </w:rPr>
        <w:t xml:space="preserve">03  </w:t>
      </w:r>
      <w:r>
        <w:rPr>
          <w:b/>
          <w:color w:val="1A2E22"/>
          <w:sz w:val="40"/>
        </w:rPr>
        <w:t>Fumigation Cadence State Machine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Tipo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20"/>
              </w:rPr>
              <w:t>state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Foco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Estado overdue (alerta, en concern red) + flecha de recovery (en accent green)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Wireado en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docs/FUMIGATION_CADENCE.md resumen ejecutivo</w:t>
            </w:r>
          </w:p>
        </w:tc>
      </w:tr>
    </w:tbl>
    <w:p>
      <w:pPr>
        <w:spacing w:before="200" w:after="200" w:line="336" w:lineRule="auto"/>
      </w:pPr>
      <w:r>
        <w:rPr>
          <w:color w:val="1A2E22"/>
          <w:sz w:val="22"/>
        </w:rPr>
        <w:t>Máquina de estados de cadencia: `no_history → ok → due_soon → overdue` con la flecha de recovery `overdue → ok` (accent verde). Cada estado muestra el guard (`diffDays = (now - next_due_date) / 86_400_000`) y los self-loops `tick` (tiempo que pasa sin fumigación nueva).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91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umigation-cadence-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9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onsolas" w:hAnsi="Consolas"/>
          <w:i/>
          <w:color w:val="7A8399"/>
          <w:sz w:val="17"/>
        </w:rPr>
        <w:t>Figura 3 — Fumigation Cadence State Machine · docs/diagrams/03-fumigation-cadence-state.html</w:t>
      </w:r>
    </w:p>
    <w:p>
      <w:r>
        <w:br w:type="page"/>
      </w:r>
    </w:p>
    <w:p>
      <w:pPr>
        <w:spacing w:before="0" w:after="80"/>
        <w:pBdr>
          <w:bottom w:val="single" w:sz="6" w:space="1" w:color="0B5F2D"/>
        </w:pBdr>
      </w:pPr>
      <w:r>
        <w:rPr>
          <w:rFonts w:ascii="Consolas" w:hAnsi="Consolas"/>
          <w:b/>
          <w:color w:val="0B5F2D"/>
          <w:sz w:val="40"/>
        </w:rPr>
        <w:t xml:space="preserve">04  </w:t>
      </w:r>
      <w:r>
        <w:rPr>
          <w:b/>
          <w:color w:val="1A2E22"/>
          <w:sz w:val="40"/>
        </w:rPr>
        <w:t>Data Model (PostGIS)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Tipo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20"/>
              </w:rPr>
              <w:t>er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Foco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dji_parcels (aggregate root) — todo converge ahí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Wireado en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docs/AEROADMIN-AFM-OVERVIEW.md §2</w:t>
            </w:r>
          </w:p>
        </w:tc>
      </w:tr>
    </w:tbl>
    <w:p>
      <w:pPr>
        <w:spacing w:before="200" w:after="200" w:line="336" w:lineRule="auto"/>
      </w:pPr>
      <w:r>
        <w:rPr>
          <w:color w:val="1A2E22"/>
          <w:sz w:val="22"/>
        </w:rPr>
        <w:t>5 tablas núcleo de PostGIS con sus campos clave, PKs/FKs y cardinalidades. `dji_parcels` es el aggregate root con relación 1:N a `dji_flights` y `dji_fumigations`, y 1:1 con `dji_fumigation_schedule`. `djiag_health` es singleton (1 sola fila) sin FKs.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22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ta-model-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2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onsolas" w:hAnsi="Consolas"/>
          <w:i/>
          <w:color w:val="7A8399"/>
          <w:sz w:val="17"/>
        </w:rPr>
        <w:t>Figura 4 — Data Model (PostGIS) · docs/diagrams/04-data-model-er.html</w:t>
      </w:r>
    </w:p>
    <w:p>
      <w:r>
        <w:br w:type="page"/>
      </w:r>
    </w:p>
    <w:p>
      <w:pPr>
        <w:spacing w:before="0" w:after="80"/>
        <w:pBdr>
          <w:bottom w:val="single" w:sz="6" w:space="1" w:color="0B5F2D"/>
        </w:pBdr>
      </w:pPr>
      <w:r>
        <w:rPr>
          <w:rFonts w:ascii="Consolas" w:hAnsi="Consolas"/>
          <w:b/>
          <w:color w:val="0B5F2D"/>
          <w:sz w:val="40"/>
        </w:rPr>
        <w:t xml:space="preserve">05  </w:t>
      </w:r>
      <w:r>
        <w:rPr>
          <w:b/>
          <w:color w:val="1A2E22"/>
          <w:sz w:val="40"/>
        </w:rPr>
        <w:t>Auth Flow (NextAuth v5 + RBAC)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Tipo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20"/>
              </w:rPr>
              <w:t>sequence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Foco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Set-Cookie de la respuesta exitosa (headline success, accent green)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Wireado en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docs/AEROADMIN-AFM-OVERVIEW.md §6</w:t>
            </w:r>
          </w:p>
        </w:tc>
      </w:tr>
    </w:tbl>
    <w:p>
      <w:pPr>
        <w:spacing w:before="200" w:after="200" w:line="336" w:lineRule="auto"/>
      </w:pPr>
      <w:r>
        <w:rPr>
          <w:color w:val="1A2E22"/>
          <w:sz w:val="22"/>
        </w:rPr>
        <w:t>Secuencia del login con NextAuth v5: User → Next.js Server → NextAuth → Postgres. `alt` fragment con la rama de error (credenciales inválidas, en concern red) y la rama de éxito (Set-Cookie + 302 /). La segunda parte muestra cómo `auth()` valida el JWT en cada request posterior y aplica el role gate.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8123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uth-flow-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2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onsolas" w:hAnsi="Consolas"/>
          <w:i/>
          <w:color w:val="7A8399"/>
          <w:sz w:val="17"/>
        </w:rPr>
        <w:t>Figura 5 — Auth Flow (NextAuth v5 + RBAC) · docs/diagrams/05-auth-flow-sequence.html</w:t>
      </w:r>
    </w:p>
    <w:p>
      <w:r>
        <w:br w:type="page"/>
      </w:r>
    </w:p>
    <w:p>
      <w:pPr>
        <w:spacing w:before="0" w:after="80"/>
        <w:pBdr>
          <w:bottom w:val="single" w:sz="6" w:space="1" w:color="0B5F2D"/>
        </w:pBdr>
      </w:pPr>
      <w:r>
        <w:rPr>
          <w:rFonts w:ascii="Consolas" w:hAnsi="Consolas"/>
          <w:b/>
          <w:color w:val="0B5F2D"/>
          <w:sz w:val="40"/>
        </w:rPr>
        <w:t xml:space="preserve">06  </w:t>
      </w:r>
      <w:r>
        <w:rPr>
          <w:b/>
          <w:color w:val="1A2E22"/>
          <w:sz w:val="40"/>
        </w:rPr>
        <w:t>RBAC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Tipo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20"/>
              </w:rPr>
              <w:t>custom grid (RBAC matrix)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Foco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admin (focal, accent border) — único rol con acceso a /devices y /admin/*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Wireado en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Reemplaza la tabla de docs/AEROADMIN-AFM-OVERVIEW.md §6</w:t>
            </w:r>
          </w:p>
        </w:tc>
      </w:tr>
    </w:tbl>
    <w:p>
      <w:pPr>
        <w:spacing w:before="200" w:after="200" w:line="336" w:lineRule="auto"/>
      </w:pPr>
      <w:r>
        <w:rPr>
          <w:color w:val="1A2E22"/>
          <w:sz w:val="22"/>
        </w:rPr>
        <w:t>Grilla 9 páginas × 3 roles con la acción semántica del server-side gate por celda: `view` (allow, verde), `redirect("/")` (ámbar), `notFound() 404` (rojo), `→ /login` (gris, sin sesión). Reemplaza la tabla markdown de `docs/AEROADMIN-AFM-OVERVIEW.md §6`.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380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bac-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onsolas" w:hAnsi="Consolas"/>
          <w:i/>
          <w:color w:val="7A8399"/>
          <w:sz w:val="17"/>
        </w:rPr>
        <w:t>Figura 6 — RBAC Matrix · docs/diagrams/06-rbac-matrix.html</w:t>
      </w:r>
    </w:p>
    <w:p>
      <w:r>
        <w:br w:type="page"/>
      </w:r>
    </w:p>
    <w:p>
      <w:pPr>
        <w:spacing w:before="0" w:after="80"/>
        <w:pBdr>
          <w:bottom w:val="single" w:sz="6" w:space="1" w:color="0B5F2D"/>
        </w:pBdr>
      </w:pPr>
      <w:r>
        <w:rPr>
          <w:rFonts w:ascii="Consolas" w:hAnsi="Consolas"/>
          <w:b/>
          <w:color w:val="0B5F2D"/>
          <w:sz w:val="40"/>
        </w:rPr>
        <w:t xml:space="preserve">07  </w:t>
      </w:r>
      <w:r>
        <w:rPr>
          <w:b/>
          <w:color w:val="1A2E22"/>
          <w:sz w:val="40"/>
        </w:rPr>
        <w:t>Page Hierarchy (Next.js App Router)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Tipo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20"/>
              </w:rPr>
              <w:t>tree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Foco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/parcelas/[id] — única ruta con anidamiento real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17"/>
              </w:rPr>
              <w:t>Wireado en</w:t>
            </w:r>
          </w:p>
        </w:tc>
        <w:tc>
          <w:tcPr>
            <w:tcW w:type="dxa" w:w="8220"/>
          </w:tcPr>
          <w:p>
            <w:pPr>
              <w:spacing w:after="0"/>
            </w:pPr>
            <w:r>
              <w:rPr>
                <w:rFonts w:ascii="Calibri" w:hAnsi="Calibri"/>
                <w:color w:val="1A2E22"/>
                <w:sz w:val="20"/>
              </w:rPr>
              <w:t>docs/AEROADMIN-AFM-OVERVIEW.md §3</w:t>
            </w:r>
          </w:p>
        </w:tc>
      </w:tr>
    </w:tbl>
    <w:p>
      <w:pPr>
        <w:spacing w:before="200" w:after="200" w:line="336" w:lineRule="auto"/>
      </w:pPr>
      <w:r>
        <w:rPr>
          <w:color w:val="1A2E22"/>
          <w:sz w:val="22"/>
        </w:rPr>
        <w:t>Jerarquía 3 niveles de `app/`: root → 5 grupos (Home, Map, Parcels, History, Admin) + 1 hoja Auth (/login) → 10 páginas tier 2 → 1 nieto (/parcelas/[id]/timeline). /devices y /admin/orphan-fumigations marcados como role-gated (admin only). /history marcado como DEPRECATED.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264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ge-hierarchy-tr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onsolas" w:hAnsi="Consolas"/>
          <w:i/>
          <w:color w:val="7A8399"/>
          <w:sz w:val="17"/>
        </w:rPr>
        <w:t>Figura 7 — Page Hierarchy (Next.js App Router) · docs/diagrams/07-page-hierarchy-tree.html</w:t>
      </w:r>
    </w:p>
    <w:p>
      <w:r>
        <w:br w:type="page"/>
      </w:r>
    </w:p>
    <w:p>
      <w:pPr>
        <w:spacing w:before="0" w:after="80"/>
        <w:pBdr>
          <w:bottom w:val="single" w:sz="6" w:space="1" w:color="0B5F2D"/>
        </w:pBdr>
      </w:pPr>
      <w:r>
        <w:rPr>
          <w:rFonts w:ascii="Consolas" w:hAnsi="Consolas"/>
          <w:b/>
          <w:color w:val="0B5F2D"/>
          <w:sz w:val="40"/>
        </w:rPr>
        <w:t xml:space="preserve">A.  </w:t>
      </w:r>
      <w:r>
        <w:rPr>
          <w:b/>
          <w:color w:val="1A2E22"/>
          <w:sz w:val="40"/>
        </w:rPr>
        <w:t>Imágenes reusables (paths)</w:t>
      </w:r>
    </w:p>
    <w:p>
      <w:pPr>
        <w:spacing w:before="160" w:after="200" w:line="336" w:lineRule="auto"/>
      </w:pPr>
      <w:r>
        <w:t xml:space="preserve">Cada diagrama tiene un PNG de alta resolución (2560×~1900) en </w:t>
      </w:r>
      <w:r>
        <w:rPr>
          <w:rFonts w:ascii="Consolas" w:hAnsi="Consolas"/>
        </w:rPr>
        <w:t>`docs/diagrams/assets/`</w:t>
      </w:r>
      <w:r>
        <w:t>. Estos PNGs son los assets reusables para otros documentos (slides, otros .docx, READMEs en otros repos, etc). Los HTMLs originales son la versión canónica — los PNGs son derivados para embebido.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4819"/>
        <w:gridCol w:w="4139"/>
      </w:tblGrid>
      <w:tr>
        <w:tc>
          <w:tcPr>
            <w:tcW w:type="dxa" w:w="680"/>
            <w:vAlign w:val="center"/>
            <w:shd w:val="clear" w:color="auto" w:fill="0B5F2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19"/>
            <w:vAlign w:val="center"/>
            <w:shd w:val="clear" w:color="auto" w:fill="0B5F2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Path relativo al repo</w:t>
            </w:r>
          </w:p>
        </w:tc>
        <w:tc>
          <w:tcPr>
            <w:tcW w:type="dxa" w:w="4139"/>
            <w:vAlign w:val="center"/>
            <w:shd w:val="clear" w:color="auto" w:fill="0B5F2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Path absoluto (Windows)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01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18"/>
              </w:rPr>
              <w:t>docs/diagrams/assets/01-system-architecture.png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C:\dev\DroneFlightAFM\docs\diagrams\assets\01-system-architecture.png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02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18"/>
              </w:rPr>
              <w:t>docs/diagrams/assets/02-dji-data-pipeline.png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C:\dev\DroneFlightAFM\docs\diagrams\assets\02-dji-data-pipeline.png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03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18"/>
              </w:rPr>
              <w:t>docs/diagrams/assets/03-fumigation-cadence-state.png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C:\dev\DroneFlightAFM\docs\diagrams\assets\03-fumigation-cadence-state.png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04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18"/>
              </w:rPr>
              <w:t>docs/diagrams/assets/04-data-model-er.png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C:\dev\DroneFlightAFM\docs\diagrams\assets\04-data-model-er.png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05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18"/>
              </w:rPr>
              <w:t>docs/diagrams/assets/05-auth-flow-sequence.png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C:\dev\DroneFlightAFM\docs\diagrams\assets\05-auth-flow-sequence.png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06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18"/>
              </w:rPr>
              <w:t>docs/diagrams/assets/06-rbac-matrix.png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C:\dev\DroneFlightAFM\docs\diagrams\assets\06-rbac-matrix.png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7A8399"/>
                <w:sz w:val="22"/>
              </w:rPr>
              <w:t>07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1A2E22"/>
                <w:sz w:val="18"/>
              </w:rPr>
              <w:t>docs/diagrams/assets/07-page-hierarchy-tree.png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rFonts w:ascii="Consolas" w:hAnsi="Consolas"/>
                <w:color w:val="4F5D75"/>
                <w:sz w:val="17"/>
              </w:rPr>
              <w:t>C:\dev\DroneFlightAFM\docs\diagrams\assets\07-page-hierarchy-tree.png</w:t>
            </w:r>
          </w:p>
        </w:tc>
      </w:tr>
      <w:tr>
        <w:tc>
          <w:tcPr>
            <w:tcW w:type="dxa" w:w="9639"/>
            <w:gridSpan w:val="3"/>
          </w:tcPr>
          <w:p>
            <w:pPr>
              <w:spacing w:after="0"/>
            </w:pPr>
            <w:r>
              <w:rPr>
                <w:color w:val="4F5D75"/>
                <w:sz w:val="19"/>
              </w:rPr>
              <w:t xml:space="preserve">Tip: insertar en otro docx → </w:t>
            </w:r>
            <w:r>
              <w:rPr>
                <w:rFonts w:ascii="Consolas" w:hAnsi="Consolas"/>
                <w:color w:val="1A2E22"/>
                <w:sz w:val="19"/>
              </w:rPr>
              <w:t>Insert → Picture → From File</w:t>
            </w:r>
            <w:r>
              <w:rPr>
                <w:sz w:val="19"/>
              </w:rPr>
              <w:t xml:space="preserve"> y seleccionar el PNG.</w:t>
            </w:r>
          </w:p>
        </w:tc>
      </w:tr>
    </w:tbl>
    <w:p>
      <w:pPr>
        <w:spacing w:before="360" w:after="80"/>
        <w:pBdr>
          <w:bottom w:val="single" w:sz="6" w:space="1" w:color="0B5F2D"/>
        </w:pBdr>
      </w:pPr>
      <w:r>
        <w:rPr>
          <w:rFonts w:ascii="Consolas" w:hAnsi="Consolas"/>
          <w:b/>
          <w:color w:val="0B5F2D"/>
          <w:sz w:val="40"/>
        </w:rPr>
        <w:t xml:space="preserve">B.  </w:t>
      </w:r>
      <w:r>
        <w:rPr>
          <w:b/>
          <w:color w:val="1A2E22"/>
          <w:sz w:val="40"/>
        </w:rPr>
        <w:t>Cómo extender el set</w:t>
      </w:r>
    </w:p>
    <w:p>
      <w:pPr>
        <w:spacing w:after="80"/>
      </w:pPr>
      <w:r>
        <w:rPr>
          <w:rFonts w:ascii="Consolas" w:hAnsi="Consolas"/>
          <w:b/>
          <w:color w:val="0B5F2D"/>
          <w:sz w:val="20"/>
        </w:rPr>
        <w:t>docs/diagrams/README.md</w:t>
      </w:r>
      <w:r>
        <w:rPr>
          <w:color w:val="4F5D75"/>
        </w:rPr>
        <w:t xml:space="preserve"> — </w:t>
      </w:r>
      <w:r>
        <w:rPr>
          <w:color w:val="1A2E22"/>
          <w:sz w:val="21"/>
        </w:rPr>
        <w:t>Catálogo y procedimiento paso a paso para agregar un nuevo diagrama.</w:t>
      </w:r>
    </w:p>
    <w:p>
      <w:pPr>
        <w:spacing w:after="80"/>
      </w:pPr>
      <w:r>
        <w:rPr>
          <w:rFonts w:ascii="Consolas" w:hAnsi="Consolas"/>
          <w:b/>
          <w:color w:val="0B5F2D"/>
          <w:sz w:val="20"/>
        </w:rPr>
        <w:t>docs/diagrams/HANDOFF.md</w:t>
      </w:r>
      <w:r>
        <w:rPr>
          <w:color w:val="4F5D75"/>
        </w:rPr>
        <w:t xml:space="preserve"> — </w:t>
      </w:r>
      <w:r>
        <w:rPr>
          <w:color w:val="1A2E22"/>
          <w:sz w:val="21"/>
        </w:rPr>
        <w:t>Contexto, decisiones, errores que ya pagué — para que otro agente no re-descubra.</w:t>
      </w:r>
    </w:p>
    <w:p>
      <w:pPr>
        <w:spacing w:after="80"/>
      </w:pPr>
      <w:r>
        <w:rPr>
          <w:rFonts w:ascii="Consolas" w:hAnsi="Consolas"/>
          <w:b/>
          <w:color w:val="0B5F2D"/>
          <w:sz w:val="20"/>
        </w:rPr>
        <w:t>docs/diagrams/style-guide.md</w:t>
      </w:r>
      <w:r>
        <w:rPr>
          <w:color w:val="4F5D75"/>
        </w:rPr>
        <w:t xml:space="preserve"> — </w:t>
      </w:r>
      <w:r>
        <w:rPr>
          <w:color w:val="1A2E22"/>
          <w:sz w:val="21"/>
        </w:rPr>
        <w:t>Brand skin project-owned (paleta, tipografía, treatment de nodos).</w:t>
      </w:r>
    </w:p>
    <w:p>
      <w:pPr>
        <w:spacing w:before="200" w:after="80" w:line="336" w:lineRule="auto"/>
      </w:pPr>
      <w:r>
        <w:rPr>
          <w:b/>
          <w:color w:val="1A2E22"/>
          <w:sz w:val="21"/>
        </w:rPr>
        <w:t xml:space="preserve">Render utility: </w:t>
      </w:r>
      <w:r>
        <w:rPr>
          <w:rFonts w:ascii="Consolas" w:hAnsi="Consolas"/>
          <w:color w:val="0B5F2D"/>
          <w:sz w:val="20"/>
        </w:rPr>
        <w:t>node scripts/render-diagram.js &lt;input.html&gt; &lt;output.png&gt;</w:t>
      </w:r>
      <w:r>
        <w:rPr>
          <w:sz w:val="21"/>
        </w:rPr>
        <w:t xml:space="preserve">  ·  verificar visualmente cada PNG antes de commitear.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E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