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 w:val="false"/>
        <w:spacing w:after="160" w:line="276"/>
        <w:jc w:val="left"/>
      </w:pPr>
      <w:r>
        <w:rPr>
          <w:rFonts w:ascii="Arial" w:cs="Arial" w:eastAsia="Arial" w:hAnsi="Arial"/>
          <w:b/>
          <w:bCs/>
          <w:color w:val="1c1c1e"/>
          <w:sz w:val="32"/>
          <w:szCs w:val="32"/>
        </w:rPr>
        <w:t xml:space="preserve">HypeShow — Legal Session Summary</w:t>
      </w:r>
    </w:p>
    <w:p>
      <w:pPr>
        <w:bidi w:val="false"/>
        <w:spacing w:after="120" w:line="276"/>
        <w:jc w:val="left"/>
      </w:pPr>
      <w:r>
        <w:rPr>
          <w:rFonts w:ascii="Arial" w:cs="Arial" w:eastAsia="Arial" w:hAnsi="Arial"/>
          <w:color w:val="6e6e73"/>
          <w:sz w:val="22"/>
          <w:szCs w:val="22"/>
        </w:rPr>
        <w:t xml:space="preserve">Document type: Working Session Record &amp; Decisions Log</w:t>
      </w:r>
    </w:p>
    <w:p>
      <w:pPr>
        <w:pBdr>
          <w:bottom w:val="single" w:color="e8623a" w:sz="6"/>
        </w:pBdr>
        <w:spacing w:after="160"/>
      </w:pPr>
    </w:p>
    <w:p>
      <w:pPr>
        <w:bidi w:val="false"/>
        <w:spacing w:after="80" w:line="276"/>
        <w:jc w:val="left"/>
      </w:pPr>
      <w:r>
        <w:rPr>
          <w:rFonts w:ascii="Arial" w:cs="Arial" w:eastAsia="Arial" w:hAnsi="Arial"/>
          <w:b/>
          <w:bCs/>
          <w:color w:val="6e6e73"/>
          <w:sz w:val="22"/>
          <w:szCs w:val="22"/>
        </w:rPr>
        <w:t xml:space="preserve">Date: </w:t>
      </w:r>
      <w:r>
        <w:rPr>
          <w:rFonts w:ascii="Arial" w:cs="Arial" w:eastAsia="Arial" w:hAnsi="Arial"/>
          <w:sz w:val="22"/>
          <w:szCs w:val="22"/>
        </w:rPr>
        <w:t xml:space="preserve">2026-04-06 to 2026-04-10</w:t>
      </w:r>
    </w:p>
    <w:p>
      <w:pPr>
        <w:bidi w:val="false"/>
        <w:spacing w:after="80" w:line="276"/>
        <w:jc w:val="left"/>
      </w:pPr>
      <w:r>
        <w:rPr>
          <w:rFonts w:ascii="Arial" w:cs="Arial" w:eastAsia="Arial" w:hAnsi="Arial"/>
          <w:b/>
          <w:bCs/>
          <w:color w:val="6e6e73"/>
          <w:sz w:val="22"/>
          <w:szCs w:val="22"/>
        </w:rPr>
        <w:t xml:space="preserve">Prepared by: </w:t>
      </w:r>
      <w:r>
        <w:rPr>
          <w:rFonts w:ascii="Arial" w:cs="Arial" w:eastAsia="Arial" w:hAnsi="Arial"/>
          <w:sz w:val="22"/>
          <w:szCs w:val="22"/>
        </w:rPr>
        <w:t xml:space="preserve">Tamar Cohen-Levi, Legal Advisor (Freelancer)</w:t>
      </w:r>
    </w:p>
    <w:p>
      <w:pPr>
        <w:bidi w:val="false"/>
        <w:spacing w:after="80" w:line="276"/>
        <w:jc w:val="left"/>
      </w:pPr>
      <w:r>
        <w:rPr>
          <w:rFonts w:ascii="Arial" w:cs="Arial" w:eastAsia="Arial" w:hAnsi="Arial"/>
          <w:b/>
          <w:bCs/>
          <w:color w:val="6e6e73"/>
          <w:sz w:val="22"/>
          <w:szCs w:val="22"/>
        </w:rPr>
        <w:t xml:space="preserve">Participants: </w:t>
      </w:r>
      <w:r>
        <w:rPr>
          <w:rFonts w:ascii="Arial" w:cs="Arial" w:eastAsia="Arial" w:hAnsi="Arial"/>
          <w:sz w:val="22"/>
          <w:szCs w:val="22"/>
        </w:rPr>
        <w:t xml:space="preserve">Nadav Dafni (Chairman &amp; Founder), Steve (CEO), Tamar Cohen-Levi</w:t>
      </w:r>
    </w:p>
    <w:p>
      <w:pPr>
        <w:bidi w:val="false"/>
        <w:spacing w:after="80" w:line="276"/>
        <w:jc w:val="left"/>
      </w:pPr>
      <w:r>
        <w:rPr>
          <w:rFonts w:ascii="Arial" w:cs="Arial" w:eastAsia="Arial" w:hAnsi="Arial"/>
          <w:b/>
          <w:bCs/>
          <w:color w:val="6e6e73"/>
          <w:sz w:val="22"/>
          <w:szCs w:val="22"/>
        </w:rPr>
        <w:t xml:space="preserve">Document status: </w:t>
      </w:r>
      <w:r>
        <w:rPr>
          <w:rFonts w:ascii="Arial" w:cs="Arial" w:eastAsia="Arial" w:hAnsi="Arial"/>
          <w:sz w:val="22"/>
          <w:szCs w:val="22"/>
        </w:rPr>
        <w:t xml:space="preserve">Internal — not for distribution</w:t>
      </w:r>
    </w:p>
    <w:p>
      <w:pPr>
        <w:bidi w:val="false"/>
        <w:spacing w:after="120" w:line="276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bidi w:val="false"/>
        <w:spacing w:after="120" w:before="200" w:line="276"/>
        <w:jc w:val="left"/>
      </w:pPr>
      <w:r>
        <w:rPr>
          <w:rFonts w:ascii="Arial" w:cs="Arial" w:eastAsia="Arial" w:hAnsi="Arial"/>
          <w:b/>
          <w:bCs/>
          <w:color w:val="e8623a"/>
          <w:sz w:val="26"/>
          <w:szCs w:val="26"/>
        </w:rPr>
        <w:t xml:space="preserve">1. Company Information Confirmed</w:t>
      </w:r>
    </w:p>
    <w:p>
      <w:pPr>
        <w:pStyle w:val="ListParagraph"/>
        <w:numPr>
          <w:ilvl w:val="0"/>
          <w:numId w:val="1"/>
        </w:numPr>
        <w:bidi w:val="false"/>
        <w:spacing w:after="80" w:line="276"/>
        <w:jc w:val="left"/>
      </w:pPr>
      <w:r>
        <w:rPr>
          <w:rFonts w:ascii="Arial" w:cs="Arial" w:eastAsia="Arial" w:hAnsi="Arial"/>
          <w:sz w:val="22"/>
          <w:szCs w:val="22"/>
        </w:rPr>
        <w:t xml:space="preserve">Legal name: Nadav Dafni Internet and Software Ltd. (נדב דפני אינטרנט ותוכנה בע"מ)</w:t>
      </w:r>
    </w:p>
    <w:p>
      <w:pPr>
        <w:pStyle w:val="ListParagraph"/>
        <w:numPr>
          <w:ilvl w:val="0"/>
          <w:numId w:val="1"/>
        </w:numPr>
        <w:bidi w:val="false"/>
        <w:spacing w:after="80" w:line="276"/>
        <w:jc w:val="left"/>
      </w:pPr>
      <w:r>
        <w:rPr>
          <w:rFonts w:ascii="Arial" w:cs="Arial" w:eastAsia="Arial" w:hAnsi="Arial"/>
          <w:sz w:val="22"/>
          <w:szCs w:val="22"/>
        </w:rPr>
        <w:t xml:space="preserve">Company number (ח.פ.): 515039303</w:t>
      </w:r>
    </w:p>
    <w:p>
      <w:pPr>
        <w:pStyle w:val="ListParagraph"/>
        <w:numPr>
          <w:ilvl w:val="0"/>
          <w:numId w:val="1"/>
        </w:numPr>
        <w:bidi w:val="false"/>
        <w:spacing w:after="80" w:line="276"/>
        <w:jc w:val="left"/>
      </w:pPr>
      <w:r>
        <w:rPr>
          <w:rFonts w:ascii="Arial" w:cs="Arial" w:eastAsia="Arial" w:hAnsi="Arial"/>
          <w:sz w:val="22"/>
          <w:szCs w:val="22"/>
        </w:rPr>
        <w:t xml:space="preserve">Founder: Nadav Dafni</w:t>
      </w:r>
    </w:p>
    <w:p>
      <w:pPr>
        <w:pStyle w:val="ListParagraph"/>
        <w:numPr>
          <w:ilvl w:val="0"/>
          <w:numId w:val="1"/>
        </w:numPr>
        <w:bidi w:val="false"/>
        <w:spacing w:after="80" w:line="276"/>
        <w:jc w:val="left"/>
      </w:pPr>
      <w:r>
        <w:rPr>
          <w:rFonts w:ascii="Arial" w:cs="Arial" w:eastAsia="Arial" w:hAnsi="Arial"/>
          <w:sz w:val="22"/>
          <w:szCs w:val="22"/>
        </w:rPr>
        <w:t xml:space="preserve">Product: HypeShow — AI executive suite SaaS platform</w:t>
      </w:r>
    </w:p>
    <w:p>
      <w:pPr>
        <w:pStyle w:val="ListParagraph"/>
        <w:numPr>
          <w:ilvl w:val="0"/>
          <w:numId w:val="1"/>
        </w:numPr>
        <w:bidi w:val="false"/>
        <w:spacing w:after="80" w:line="276"/>
        <w:jc w:val="left"/>
      </w:pPr>
      <w:r>
        <w:rPr>
          <w:rFonts w:ascii="Arial" w:cs="Arial" w:eastAsia="Arial" w:hAnsi="Arial"/>
          <w:sz w:val="22"/>
          <w:szCs w:val="22"/>
        </w:rPr>
        <w:t xml:space="preserve">Primary market: Israel. Future: International expansion</w:t>
      </w:r>
    </w:p>
    <w:p>
      <w:pPr>
        <w:bidi w:val="false"/>
        <w:spacing w:after="120" w:line="276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bidi w:val="false"/>
        <w:spacing w:after="120" w:before="200" w:line="276"/>
        <w:jc w:val="left"/>
      </w:pPr>
      <w:r>
        <w:rPr>
          <w:rFonts w:ascii="Arial" w:cs="Arial" w:eastAsia="Arial" w:hAnsi="Arial"/>
          <w:b/>
          <w:bCs/>
          <w:color w:val="e8623a"/>
          <w:sz w:val="26"/>
          <w:szCs w:val="26"/>
        </w:rPr>
        <w:t xml:space="preserve">2. Documents Created in This Session</w:t>
      </w:r>
    </w:p>
    <w:p>
      <w:pPr>
        <w:bidi w:val="false"/>
        <w:spacing w:after="80" w:before="140" w:line="276"/>
        <w:jc w:val="left"/>
      </w:pPr>
      <w:r>
        <w:rPr>
          <w:rFonts w:ascii="Arial" w:cs="Arial" w:eastAsia="Arial" w:hAnsi="Arial"/>
          <w:b/>
          <w:bCs/>
          <w:color w:val="3a7bd5"/>
          <w:sz w:val="22"/>
          <w:szCs w:val="22"/>
        </w:rPr>
        <w:t xml:space="preserve">Core Legal Documents (v1.5 — Bilingual)</w:t>
      </w:r>
    </w:p>
    <w:p>
      <w:pPr>
        <w:pStyle w:val="ListParagraph"/>
        <w:numPr>
          <w:ilvl w:val="0"/>
          <w:numId w:val="1"/>
        </w:numPr>
        <w:bidi w:val="false"/>
        <w:spacing w:after="80" w:line="276"/>
        <w:jc w:val="left"/>
      </w:pPr>
      <w:r>
        <w:rPr>
          <w:rFonts w:ascii="Arial" w:cs="Arial" w:eastAsia="Arial" w:hAnsi="Arial"/>
          <w:sz w:val="22"/>
          <w:szCs w:val="22"/>
        </w:rPr>
        <w:t xml:space="preserve">privacy-policy-tamar.docx — Privacy Policy</w:t>
      </w:r>
    </w:p>
    <w:p>
      <w:pPr>
        <w:pStyle w:val="ListParagraph"/>
        <w:numPr>
          <w:ilvl w:val="0"/>
          <w:numId w:val="1"/>
        </w:numPr>
        <w:bidi w:val="false"/>
        <w:spacing w:after="80" w:line="276"/>
        <w:jc w:val="left"/>
      </w:pPr>
      <w:r>
        <w:rPr>
          <w:rFonts w:ascii="Arial" w:cs="Arial" w:eastAsia="Arial" w:hAnsi="Arial"/>
          <w:sz w:val="22"/>
          <w:szCs w:val="22"/>
        </w:rPr>
        <w:t xml:space="preserve">terms-of-service-tamar.docx — Terms of Service</w:t>
      </w:r>
    </w:p>
    <w:p>
      <w:pPr>
        <w:bidi w:val="false"/>
        <w:spacing w:after="80" w:before="140" w:line="276"/>
        <w:jc w:val="left"/>
      </w:pPr>
      <w:r>
        <w:rPr>
          <w:rFonts w:ascii="Arial" w:cs="Arial" w:eastAsia="Arial" w:hAnsi="Arial"/>
          <w:b/>
          <w:bCs/>
          <w:color w:val="3a7bd5"/>
          <w:sz w:val="22"/>
          <w:szCs w:val="22"/>
        </w:rPr>
        <w:t xml:space="preserve">Supporting Documents (v1.0 — Bilingual)</w:t>
      </w:r>
    </w:p>
    <w:p>
      <w:pPr>
        <w:pStyle w:val="ListParagraph"/>
        <w:numPr>
          <w:ilvl w:val="0"/>
          <w:numId w:val="1"/>
        </w:numPr>
        <w:bidi w:val="false"/>
        <w:spacing w:after="80" w:line="276"/>
        <w:jc w:val="left"/>
      </w:pPr>
      <w:r>
        <w:rPr>
          <w:rFonts w:ascii="Arial" w:cs="Arial" w:eastAsia="Arial" w:hAnsi="Arial"/>
          <w:sz w:val="22"/>
          <w:szCs w:val="22"/>
        </w:rPr>
        <w:t xml:space="preserve">cookie-policy-tamar.docx — Cookie Policy</w:t>
      </w:r>
    </w:p>
    <w:p>
      <w:pPr>
        <w:pStyle w:val="ListParagraph"/>
        <w:numPr>
          <w:ilvl w:val="0"/>
          <w:numId w:val="1"/>
        </w:numPr>
        <w:bidi w:val="false"/>
        <w:spacing w:after="80" w:line="276"/>
        <w:jc w:val="left"/>
      </w:pPr>
      <w:r>
        <w:rPr>
          <w:rFonts w:ascii="Arial" w:cs="Arial" w:eastAsia="Arial" w:hAnsi="Arial"/>
          <w:sz w:val="22"/>
          <w:szCs w:val="22"/>
        </w:rPr>
        <w:t xml:space="preserve">acceptable-use-policy-tamar.docx — Acceptable Use Policy</w:t>
      </w:r>
    </w:p>
    <w:p>
      <w:pPr>
        <w:pStyle w:val="ListParagraph"/>
        <w:numPr>
          <w:ilvl w:val="0"/>
          <w:numId w:val="1"/>
        </w:numPr>
        <w:bidi w:val="false"/>
        <w:spacing w:after="80" w:line="276"/>
        <w:jc w:val="left"/>
      </w:pPr>
      <w:r>
        <w:rPr>
          <w:rFonts w:ascii="Arial" w:cs="Arial" w:eastAsia="Arial" w:hAnsi="Arial"/>
          <w:sz w:val="22"/>
          <w:szCs w:val="22"/>
        </w:rPr>
        <w:t xml:space="preserve">freelancer-agreement-tamar.docx — Freelancer Agreement</w:t>
      </w:r>
    </w:p>
    <w:p>
      <w:pPr>
        <w:pStyle w:val="ListParagraph"/>
        <w:numPr>
          <w:ilvl w:val="0"/>
          <w:numId w:val="1"/>
        </w:numPr>
        <w:bidi w:val="false"/>
        <w:spacing w:after="80" w:line="276"/>
        <w:jc w:val="left"/>
      </w:pPr>
      <w:r>
        <w:rPr>
          <w:rFonts w:ascii="Arial" w:cs="Arial" w:eastAsia="Arial" w:hAnsi="Arial"/>
          <w:sz w:val="22"/>
          <w:szCs w:val="22"/>
        </w:rPr>
        <w:t xml:space="preserve">nda-tamar.docx — Non-Disclosure Agreement</w:t>
      </w:r>
    </w:p>
    <w:p>
      <w:pPr>
        <w:bidi w:val="false"/>
        <w:spacing w:after="120" w:line="276"/>
        <w:jc w:val="left"/>
      </w:pPr>
      <w:r>
        <w:rPr>
          <w:rFonts w:ascii="Arial" w:cs="Arial" w:eastAsia="Arial" w:hAnsi="Arial"/>
          <w:sz w:val="22"/>
          <w:szCs w:val="22"/>
        </w:rPr>
        <w:t xml:space="preserve">All documents are bilingual: English first, Hebrew after a page break. Format: .docx (Arial font, RTL for Hebrew sections, LTR for English).</w:t>
      </w:r>
    </w:p>
    <w:p>
      <w:pPr>
        <w:bidi w:val="false"/>
        <w:spacing w:after="120" w:line="276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bidi w:val="false"/>
        <w:spacing w:after="120" w:before="200" w:line="276"/>
        <w:jc w:val="left"/>
      </w:pPr>
      <w:r>
        <w:rPr>
          <w:rFonts w:ascii="Arial" w:cs="Arial" w:eastAsia="Arial" w:hAnsi="Arial"/>
          <w:b/>
          <w:bCs/>
          <w:color w:val="e8623a"/>
          <w:sz w:val="26"/>
          <w:szCs w:val="26"/>
        </w:rPr>
        <w:t xml:space="preserve">3. Key Legal Decisions Made</w:t>
      </w:r>
    </w:p>
    <w:p>
      <w:pPr>
        <w:bidi w:val="false"/>
        <w:spacing w:after="80" w:before="140" w:line="276"/>
        <w:jc w:val="left"/>
      </w:pPr>
      <w:r>
        <w:rPr>
          <w:rFonts w:ascii="Arial" w:cs="Arial" w:eastAsia="Arial" w:hAnsi="Arial"/>
          <w:b/>
          <w:bCs/>
          <w:color w:val="3a7bd5"/>
          <w:sz w:val="22"/>
          <w:szCs w:val="22"/>
        </w:rPr>
        <w:t xml:space="preserve">Jurisdiction &amp; Governing Law</w:t>
      </w:r>
    </w:p>
    <w:p>
      <w:pPr>
        <w:pStyle w:val="ListParagraph"/>
        <w:numPr>
          <w:ilvl w:val="0"/>
          <w:numId w:val="1"/>
        </w:numPr>
        <w:bidi w:val="false"/>
        <w:spacing w:after="80" w:line="276"/>
        <w:jc w:val="left"/>
      </w:pPr>
      <w:r>
        <w:rPr>
          <w:rFonts w:ascii="Arial" w:cs="Arial" w:eastAsia="Arial" w:hAnsi="Arial"/>
          <w:sz w:val="22"/>
          <w:szCs w:val="22"/>
        </w:rPr>
        <w:t xml:space="preserve">Jurisdiction: Tel Aviv District Court, Israel</w:t>
      </w:r>
    </w:p>
    <w:p>
      <w:pPr>
        <w:pStyle w:val="ListParagraph"/>
        <w:numPr>
          <w:ilvl w:val="0"/>
          <w:numId w:val="1"/>
        </w:numPr>
        <w:bidi w:val="false"/>
        <w:spacing w:after="80" w:line="276"/>
        <w:jc w:val="left"/>
      </w:pPr>
      <w:r>
        <w:rPr>
          <w:rFonts w:ascii="Arial" w:cs="Arial" w:eastAsia="Arial" w:hAnsi="Arial"/>
          <w:sz w:val="22"/>
          <w:szCs w:val="22"/>
        </w:rPr>
        <w:t xml:space="preserve">Governing law: Israeli law</w:t>
      </w:r>
    </w:p>
    <w:p>
      <w:pPr>
        <w:pStyle w:val="ListParagraph"/>
        <w:numPr>
          <w:ilvl w:val="0"/>
          <w:numId w:val="1"/>
        </w:numPr>
        <w:bidi w:val="false"/>
        <w:spacing w:after="80" w:line="276"/>
        <w:jc w:val="left"/>
      </w:pPr>
      <w:r>
        <w:rPr>
          <w:rFonts w:ascii="Arial" w:cs="Arial" w:eastAsia="Arial" w:hAnsi="Arial"/>
          <w:sz w:val="22"/>
          <w:szCs w:val="22"/>
        </w:rPr>
        <w:t xml:space="preserve">All disputes resolved exclusively in Tel Aviv — no foreign courts</w:t>
      </w:r>
    </w:p>
    <w:p>
      <w:pPr>
        <w:bidi w:val="false"/>
        <w:spacing w:after="80" w:before="140" w:line="276"/>
        <w:jc w:val="left"/>
      </w:pPr>
      <w:r>
        <w:rPr>
          <w:rFonts w:ascii="Arial" w:cs="Arial" w:eastAsia="Arial" w:hAnsi="Arial"/>
          <w:b/>
          <w:bCs/>
          <w:color w:val="3a7bd5"/>
          <w:sz w:val="22"/>
          <w:szCs w:val="22"/>
        </w:rPr>
        <w:t xml:space="preserve">Age Restriction</w:t>
      </w:r>
    </w:p>
    <w:p>
      <w:pPr>
        <w:pStyle w:val="ListParagraph"/>
        <w:numPr>
          <w:ilvl w:val="0"/>
          <w:numId w:val="1"/>
        </w:numPr>
        <w:bidi w:val="false"/>
        <w:spacing w:after="80" w:line="276"/>
        <w:jc w:val="left"/>
      </w:pPr>
      <w:r>
        <w:rPr>
          <w:rFonts w:ascii="Arial" w:cs="Arial" w:eastAsia="Arial" w:hAnsi="Arial"/>
          <w:sz w:val="22"/>
          <w:szCs w:val="22"/>
        </w:rPr>
        <w:t xml:space="preserve">Minimum age: 13 (global standard — COPPA compliant for US users)</w:t>
      </w:r>
    </w:p>
    <w:p>
      <w:pPr>
        <w:pStyle w:val="ListParagraph"/>
        <w:numPr>
          <w:ilvl w:val="0"/>
          <w:numId w:val="1"/>
        </w:numPr>
        <w:bidi w:val="false"/>
        <w:spacing w:after="80" w:line="276"/>
        <w:jc w:val="left"/>
      </w:pPr>
      <w:r>
        <w:rPr>
          <w:rFonts w:ascii="Arial" w:cs="Arial" w:eastAsia="Arial" w:hAnsi="Arial"/>
          <w:sz w:val="22"/>
          <w:szCs w:val="22"/>
        </w:rPr>
        <w:t xml:space="preserve">Users under 13 are prohibited from using the platform</w:t>
      </w:r>
    </w:p>
    <w:p>
      <w:pPr>
        <w:bidi w:val="false"/>
        <w:spacing w:after="80" w:before="140" w:line="276"/>
        <w:jc w:val="left"/>
      </w:pPr>
      <w:r>
        <w:rPr>
          <w:rFonts w:ascii="Arial" w:cs="Arial" w:eastAsia="Arial" w:hAnsi="Arial"/>
          <w:b/>
          <w:bCs/>
          <w:color w:val="3a7bd5"/>
          <w:sz w:val="22"/>
          <w:szCs w:val="22"/>
        </w:rPr>
        <w:t xml:space="preserve">AI Disclaimer — Approved Text</w:t>
      </w:r>
    </w:p>
    <w:p>
      <w:pPr>
        <w:pStyle w:val="ListParagraph"/>
        <w:numPr>
          <w:ilvl w:val="0"/>
          <w:numId w:val="1"/>
        </w:numPr>
        <w:bidi w:val="false"/>
        <w:spacing w:after="80" w:line="276"/>
        <w:jc w:val="left"/>
      </w:pPr>
      <w:r>
        <w:rPr>
          <w:rFonts w:ascii="Arial" w:cs="Arial" w:eastAsia="Arial" w:hAnsi="Arial"/>
          <w:sz w:val="22"/>
          <w:szCs w:val="22"/>
        </w:rPr>
        <w:t xml:space="preserve">English: "AI agents can make mistakes. All outputs are for informational purposes only and do not constitute professional legal, financial, or business advice."</w:t>
      </w:r>
    </w:p>
    <w:p>
      <w:pPr>
        <w:pStyle w:val="ListParagraph"/>
        <w:numPr>
          <w:ilvl w:val="0"/>
          <w:numId w:val="1"/>
        </w:numPr>
        <w:bidi w:val="false"/>
        <w:spacing w:after="80" w:line="276"/>
        <w:jc w:val="left"/>
      </w:pPr>
      <w:r>
        <w:rPr>
          <w:rFonts w:ascii="Arial" w:cs="Arial" w:eastAsia="Arial" w:hAnsi="Arial"/>
          <w:sz w:val="22"/>
          <w:szCs w:val="22"/>
        </w:rPr>
        <w:t xml:space="preserve">Hebrew: "סוכני AI עלולים לטעות. כל התכנים מיועדים למידע בלבד ואינם מהווים ייעוץ מקצועי — משפטי, פיננסי או עסקי."</w:t>
      </w:r>
    </w:p>
    <w:p>
      <w:pPr>
        <w:pStyle w:val="ListParagraph"/>
        <w:numPr>
          <w:ilvl w:val="0"/>
          <w:numId w:val="1"/>
        </w:numPr>
        <w:bidi w:val="false"/>
        <w:spacing w:after="80" w:line="276"/>
        <w:jc w:val="left"/>
      </w:pPr>
      <w:r>
        <w:rPr>
          <w:rFonts w:ascii="Arial" w:cs="Arial" w:eastAsia="Arial" w:hAnsi="Arial"/>
          <w:sz w:val="22"/>
          <w:szCs w:val="22"/>
        </w:rPr>
        <w:t xml:space="preserve">Plural language used in Hebrew (לשון רבים) to avoid gendered assumptions</w:t>
      </w:r>
    </w:p>
    <w:p>
      <w:pPr>
        <w:pStyle w:val="ListParagraph"/>
        <w:numPr>
          <w:ilvl w:val="0"/>
          <w:numId w:val="1"/>
        </w:numPr>
        <w:bidi w:val="false"/>
        <w:spacing w:after="80" w:line="276"/>
        <w:jc w:val="left"/>
      </w:pPr>
      <w:r>
        <w:rPr>
          <w:rFonts w:ascii="Arial" w:cs="Arial" w:eastAsia="Arial" w:hAnsi="Arial"/>
          <w:sz w:val="22"/>
          <w:szCs w:val="22"/>
        </w:rPr>
        <w:t xml:space="preserve">Disclaimer shown once at onboarding + in signup checkbox — NOT repeated in every chat modal</w:t>
      </w:r>
    </w:p>
    <w:p>
      <w:pPr>
        <w:bidi w:val="false"/>
        <w:spacing w:after="80" w:before="140" w:line="276"/>
        <w:jc w:val="left"/>
      </w:pPr>
      <w:r>
        <w:rPr>
          <w:rFonts w:ascii="Arial" w:cs="Arial" w:eastAsia="Arial" w:hAnsi="Arial"/>
          <w:b/>
          <w:bCs/>
          <w:color w:val="3a7bd5"/>
          <w:sz w:val="22"/>
          <w:szCs w:val="22"/>
        </w:rPr>
        <w:t xml:space="preserve">Data Retention Policy</w:t>
      </w:r>
    </w:p>
    <w:p>
      <w:pPr>
        <w:pStyle w:val="ListParagraph"/>
        <w:numPr>
          <w:ilvl w:val="0"/>
          <w:numId w:val="1"/>
        </w:numPr>
        <w:bidi w:val="false"/>
        <w:spacing w:after="80" w:line="276"/>
        <w:jc w:val="left"/>
      </w:pPr>
      <w:r>
        <w:rPr>
          <w:rFonts w:ascii="Arial" w:cs="Arial" w:eastAsia="Arial" w:hAnsi="Arial"/>
          <w:sz w:val="22"/>
          <w:szCs w:val="22"/>
        </w:rPr>
        <w:t xml:space="preserve">Full conversations: 12 months from last activity, then auto-deleted</w:t>
      </w:r>
    </w:p>
    <w:p>
      <w:pPr>
        <w:pStyle w:val="ListParagraph"/>
        <w:numPr>
          <w:ilvl w:val="0"/>
          <w:numId w:val="1"/>
        </w:numPr>
        <w:bidi w:val="false"/>
        <w:spacing w:after="80" w:line="276"/>
        <w:jc w:val="left"/>
      </w:pPr>
      <w:r>
        <w:rPr>
          <w:rFonts w:ascii="Arial" w:cs="Arial" w:eastAsia="Arial" w:hAnsi="Arial"/>
          <w:sz w:val="22"/>
          <w:szCs w:val="22"/>
        </w:rPr>
        <w:t xml:space="preserve">Conversation summaries: Retained until account deletion</w:t>
      </w:r>
    </w:p>
    <w:p>
      <w:pPr>
        <w:pStyle w:val="ListParagraph"/>
        <w:numPr>
          <w:ilvl w:val="0"/>
          <w:numId w:val="1"/>
        </w:numPr>
        <w:bidi w:val="false"/>
        <w:spacing w:after="80" w:line="276"/>
        <w:jc w:val="left"/>
      </w:pPr>
      <w:r>
        <w:rPr>
          <w:rFonts w:ascii="Arial" w:cs="Arial" w:eastAsia="Arial" w:hAnsi="Arial"/>
          <w:sz w:val="22"/>
          <w:szCs w:val="22"/>
        </w:rPr>
        <w:t xml:space="preserve">Seniority Score: Retained until account deletion</w:t>
      </w:r>
    </w:p>
    <w:p>
      <w:pPr>
        <w:pStyle w:val="ListParagraph"/>
        <w:numPr>
          <w:ilvl w:val="0"/>
          <w:numId w:val="1"/>
        </w:numPr>
        <w:bidi w:val="false"/>
        <w:spacing w:after="80" w:line="276"/>
        <w:jc w:val="left"/>
      </w:pPr>
      <w:r>
        <w:rPr>
          <w:rFonts w:ascii="Arial" w:cs="Arial" w:eastAsia="Arial" w:hAnsi="Arial"/>
          <w:sz w:val="22"/>
          <w:szCs w:val="22"/>
        </w:rPr>
        <w:t xml:space="preserve">This three-layer approach is documented in the Privacy Policy</w:t>
      </w:r>
    </w:p>
    <w:p>
      <w:pPr>
        <w:bidi w:val="false"/>
        <w:spacing w:after="80" w:before="140" w:line="276"/>
        <w:jc w:val="left"/>
      </w:pPr>
      <w:r>
        <w:rPr>
          <w:rFonts w:ascii="Arial" w:cs="Arial" w:eastAsia="Arial" w:hAnsi="Arial"/>
          <w:b/>
          <w:bCs/>
          <w:color w:val="3a7bd5"/>
          <w:sz w:val="22"/>
          <w:szCs w:val="22"/>
        </w:rPr>
        <w:t xml:space="preserve">Liability Protection Measures</w:t>
      </w:r>
    </w:p>
    <w:p>
      <w:pPr>
        <w:pStyle w:val="ListParagraph"/>
        <w:numPr>
          <w:ilvl w:val="0"/>
          <w:numId w:val="1"/>
        </w:numPr>
        <w:bidi w:val="false"/>
        <w:spacing w:after="80" w:line="276"/>
        <w:jc w:val="left"/>
      </w:pPr>
      <w:r>
        <w:rPr>
          <w:rFonts w:ascii="Arial" w:cs="Arial" w:eastAsia="Arial" w:hAnsi="Arial"/>
          <w:sz w:val="22"/>
          <w:szCs w:val="22"/>
        </w:rPr>
        <w:t xml:space="preserve">Cap on liability: Maximum 12 months of subscription fees paid by user</w:t>
      </w:r>
    </w:p>
    <w:p>
      <w:pPr>
        <w:pStyle w:val="ListParagraph"/>
        <w:numPr>
          <w:ilvl w:val="0"/>
          <w:numId w:val="1"/>
        </w:numPr>
        <w:bidi w:val="false"/>
        <w:spacing w:after="80" w:line="276"/>
        <w:jc w:val="left"/>
      </w:pPr>
      <w:r>
        <w:rPr>
          <w:rFonts w:ascii="Arial" w:cs="Arial" w:eastAsia="Arial" w:hAnsi="Arial"/>
          <w:sz w:val="22"/>
          <w:szCs w:val="22"/>
        </w:rPr>
        <w:t xml:space="preserve">No liability for lost profits, business decisions, or indirect damages</w:t>
      </w:r>
    </w:p>
    <w:p>
      <w:pPr>
        <w:pStyle w:val="ListParagraph"/>
        <w:numPr>
          <w:ilvl w:val="0"/>
          <w:numId w:val="1"/>
        </w:numPr>
        <w:bidi w:val="false"/>
        <w:spacing w:after="80" w:line="276"/>
        <w:jc w:val="left"/>
      </w:pPr>
      <w:r>
        <w:rPr>
          <w:rFonts w:ascii="Arial" w:cs="Arial" w:eastAsia="Arial" w:hAnsi="Arial"/>
          <w:sz w:val="22"/>
          <w:szCs w:val="22"/>
        </w:rPr>
        <w:t xml:space="preserve">Force majeure clause included</w:t>
      </w:r>
    </w:p>
    <w:p>
      <w:pPr>
        <w:pStyle w:val="ListParagraph"/>
        <w:numPr>
          <w:ilvl w:val="0"/>
          <w:numId w:val="1"/>
        </w:numPr>
        <w:bidi w:val="false"/>
        <w:spacing w:after="80" w:line="276"/>
        <w:jc w:val="left"/>
      </w:pPr>
      <w:r>
        <w:rPr>
          <w:rFonts w:ascii="Arial" w:cs="Arial" w:eastAsia="Arial" w:hAnsi="Arial"/>
          <w:sz w:val="22"/>
          <w:szCs w:val="22"/>
        </w:rPr>
        <w:t xml:space="preserve">Indemnification clause: User indemnifies HypeShow against third-party claims from user content</w:t>
      </w:r>
    </w:p>
    <w:p>
      <w:pPr>
        <w:pStyle w:val="ListParagraph"/>
        <w:numPr>
          <w:ilvl w:val="0"/>
          <w:numId w:val="1"/>
        </w:numPr>
        <w:bidi w:val="false"/>
        <w:spacing w:after="80" w:line="276"/>
        <w:jc w:val="left"/>
      </w:pPr>
      <w:r>
        <w:rPr>
          <w:rFonts w:ascii="Arial" w:cs="Arial" w:eastAsia="Arial" w:hAnsi="Arial"/>
          <w:sz w:val="22"/>
          <w:szCs w:val="22"/>
        </w:rPr>
        <w:t xml:space="preserve">Unilateral amendment rights: HypeShow can update Terms with 30-day notice via email</w:t>
      </w:r>
    </w:p>
    <w:p>
      <w:pPr>
        <w:bidi w:val="false"/>
        <w:spacing w:after="120" w:line="276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bidi w:val="false"/>
        <w:spacing w:after="120" w:before="200" w:line="276"/>
        <w:jc w:val="left"/>
      </w:pPr>
      <w:r>
        <w:rPr>
          <w:rFonts w:ascii="Arial" w:cs="Arial" w:eastAsia="Arial" w:hAnsi="Arial"/>
          <w:b/>
          <w:bCs/>
          <w:color w:val="e8623a"/>
          <w:sz w:val="26"/>
          <w:szCs w:val="26"/>
        </w:rPr>
        <w:t xml:space="preserve">4. Platform-Specific Legal Notes</w:t>
      </w:r>
    </w:p>
    <w:p>
      <w:pPr>
        <w:bidi w:val="false"/>
        <w:spacing w:after="80" w:before="140" w:line="276"/>
        <w:jc w:val="left"/>
      </w:pPr>
      <w:r>
        <w:rPr>
          <w:rFonts w:ascii="Arial" w:cs="Arial" w:eastAsia="Arial" w:hAnsi="Arial"/>
          <w:b/>
          <w:bCs/>
          <w:color w:val="3a7bd5"/>
          <w:sz w:val="22"/>
          <w:szCs w:val="22"/>
        </w:rPr>
        <w:t xml:space="preserve">Seniority Score</w:t>
      </w:r>
    </w:p>
    <w:p>
      <w:pPr>
        <w:pStyle w:val="ListParagraph"/>
        <w:numPr>
          <w:ilvl w:val="0"/>
          <w:numId w:val="1"/>
        </w:numPr>
        <w:bidi w:val="false"/>
        <w:spacing w:after="80" w:line="276"/>
        <w:jc w:val="left"/>
      </w:pPr>
      <w:r>
        <w:rPr>
          <w:rFonts w:ascii="Arial" w:cs="Arial" w:eastAsia="Arial" w:hAnsi="Arial"/>
          <w:sz w:val="22"/>
          <w:szCs w:val="22"/>
        </w:rPr>
        <w:t xml:space="preserve">Not a "grade" that affects users negatively — it is an internal feature enhancement metric</w:t>
      </w:r>
    </w:p>
    <w:p>
      <w:pPr>
        <w:pStyle w:val="ListParagraph"/>
        <w:numPr>
          <w:ilvl w:val="0"/>
          <w:numId w:val="1"/>
        </w:numPr>
        <w:bidi w:val="false"/>
        <w:spacing w:after="80" w:line="276"/>
        <w:jc w:val="left"/>
      </w:pPr>
      <w:r>
        <w:rPr>
          <w:rFonts w:ascii="Arial" w:cs="Arial" w:eastAsia="Arial" w:hAnsi="Arial"/>
          <w:sz w:val="22"/>
          <w:szCs w:val="22"/>
        </w:rPr>
        <w:t xml:space="preserve">Does not affect access to the platform</w:t>
      </w:r>
    </w:p>
    <w:p>
      <w:pPr>
        <w:pStyle w:val="ListParagraph"/>
        <w:numPr>
          <w:ilvl w:val="0"/>
          <w:numId w:val="1"/>
        </w:numPr>
        <w:bidi w:val="false"/>
        <w:spacing w:after="80" w:line="276"/>
        <w:jc w:val="left"/>
      </w:pPr>
      <w:r>
        <w:rPr>
          <w:rFonts w:ascii="Arial" w:cs="Arial" w:eastAsia="Arial" w:hAnsi="Arial"/>
          <w:sz w:val="22"/>
          <w:szCs w:val="22"/>
        </w:rPr>
        <w:t xml:space="preserve">Disclosed in Privacy Policy as a calculated metric</w:t>
      </w:r>
    </w:p>
    <w:p>
      <w:pPr>
        <w:bidi w:val="false"/>
        <w:spacing w:after="80" w:before="140" w:line="276"/>
        <w:jc w:val="left"/>
      </w:pPr>
      <w:r>
        <w:rPr>
          <w:rFonts w:ascii="Arial" w:cs="Arial" w:eastAsia="Arial" w:hAnsi="Arial"/>
          <w:b/>
          <w:bCs/>
          <w:color w:val="3a7bd5"/>
          <w:sz w:val="22"/>
          <w:szCs w:val="22"/>
        </w:rPr>
        <w:t xml:space="preserve">AI as Advisory Tool</w:t>
      </w:r>
    </w:p>
    <w:p>
      <w:pPr>
        <w:pStyle w:val="ListParagraph"/>
        <w:numPr>
          <w:ilvl w:val="0"/>
          <w:numId w:val="1"/>
        </w:numPr>
        <w:bidi w:val="false"/>
        <w:spacing w:after="80" w:line="276"/>
        <w:jc w:val="left"/>
      </w:pPr>
      <w:r>
        <w:rPr>
          <w:rFonts w:ascii="Arial" w:cs="Arial" w:eastAsia="Arial" w:hAnsi="Arial"/>
          <w:sz w:val="22"/>
          <w:szCs w:val="22"/>
        </w:rPr>
        <w:t xml:space="preserve">HypeShow officers are advisory AI tools — not licensed professionals</w:t>
      </w:r>
    </w:p>
    <w:p>
      <w:pPr>
        <w:pStyle w:val="ListParagraph"/>
        <w:numPr>
          <w:ilvl w:val="0"/>
          <w:numId w:val="1"/>
        </w:numPr>
        <w:bidi w:val="false"/>
        <w:spacing w:after="80" w:line="276"/>
        <w:jc w:val="left"/>
      </w:pPr>
      <w:r>
        <w:rPr>
          <w:rFonts w:ascii="Arial" w:cs="Arial" w:eastAsia="Arial" w:hAnsi="Arial"/>
          <w:sz w:val="22"/>
          <w:szCs w:val="22"/>
        </w:rPr>
        <w:t xml:space="preserve">Platform's value proposition is preparation, not replacement of human professionals</w:t>
      </w:r>
    </w:p>
    <w:p>
      <w:pPr>
        <w:pStyle w:val="ListParagraph"/>
        <w:numPr>
          <w:ilvl w:val="0"/>
          <w:numId w:val="1"/>
        </w:numPr>
        <w:bidi w:val="false"/>
        <w:spacing w:after="80" w:line="276"/>
        <w:jc w:val="left"/>
      </w:pPr>
      <w:r>
        <w:rPr>
          <w:rFonts w:ascii="Arial" w:cs="Arial" w:eastAsia="Arial" w:hAnsi="Arial"/>
          <w:sz w:val="22"/>
          <w:szCs w:val="22"/>
        </w:rPr>
        <w:t xml:space="preserve">Users build toward hiring real professionals — AI helps them get ready for that stage</w:t>
      </w:r>
    </w:p>
    <w:p>
      <w:pPr>
        <w:bidi w:val="false"/>
        <w:spacing w:after="80" w:before="140" w:line="276"/>
        <w:jc w:val="left"/>
      </w:pPr>
      <w:r>
        <w:rPr>
          <w:rFonts w:ascii="Arial" w:cs="Arial" w:eastAsia="Arial" w:hAnsi="Arial"/>
          <w:b/>
          <w:bCs/>
          <w:color w:val="3a7bd5"/>
          <w:sz w:val="22"/>
          <w:szCs w:val="22"/>
        </w:rPr>
        <w:t xml:space="preserve">Freelancer Marketplace (V2 — future)</w:t>
      </w:r>
    </w:p>
    <w:p>
      <w:pPr>
        <w:pStyle w:val="ListParagraph"/>
        <w:numPr>
          <w:ilvl w:val="0"/>
          <w:numId w:val="1"/>
        </w:numPr>
        <w:bidi w:val="false"/>
        <w:spacing w:after="80" w:line="276"/>
        <w:jc w:val="left"/>
      </w:pPr>
      <w:r>
        <w:rPr>
          <w:rFonts w:ascii="Arial" w:cs="Arial" w:eastAsia="Arial" w:hAnsi="Arial"/>
          <w:sz w:val="22"/>
          <w:szCs w:val="22"/>
        </w:rPr>
        <w:t xml:space="preserve">Planned feature connecting users with real professionals (photographers, lawyers, designers, etc.)</w:t>
      </w:r>
    </w:p>
    <w:p>
      <w:pPr>
        <w:pStyle w:val="ListParagraph"/>
        <w:numPr>
          <w:ilvl w:val="0"/>
          <w:numId w:val="1"/>
        </w:numPr>
        <w:bidi w:val="false"/>
        <w:spacing w:after="80" w:line="276"/>
        <w:jc w:val="left"/>
      </w:pPr>
      <w:r>
        <w:rPr>
          <w:rFonts w:ascii="Arial" w:cs="Arial" w:eastAsia="Arial" w:hAnsi="Arial"/>
          <w:sz w:val="22"/>
          <w:szCs w:val="22"/>
        </w:rPr>
        <w:t xml:space="preserve">Will require additional legal documents when launched</w:t>
      </w:r>
    </w:p>
    <w:p>
      <w:pPr>
        <w:pStyle w:val="ListParagraph"/>
        <w:numPr>
          <w:ilvl w:val="0"/>
          <w:numId w:val="1"/>
        </w:numPr>
        <w:bidi w:val="false"/>
        <w:spacing w:after="80" w:line="276"/>
        <w:jc w:val="left"/>
      </w:pPr>
      <w:r>
        <w:rPr>
          <w:rFonts w:ascii="Arial" w:cs="Arial" w:eastAsia="Arial" w:hAnsi="Arial"/>
          <w:sz w:val="22"/>
          <w:szCs w:val="22"/>
        </w:rPr>
        <w:t xml:space="preserve">Trigger point: 10+ active startups on platform</w:t>
      </w:r>
    </w:p>
    <w:p>
      <w:pPr>
        <w:bidi w:val="false"/>
        <w:spacing w:after="120" w:line="276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bidi w:val="false"/>
        <w:spacing w:after="120" w:before="200" w:line="276"/>
        <w:jc w:val="left"/>
      </w:pPr>
      <w:r>
        <w:rPr>
          <w:rFonts w:ascii="Arial" w:cs="Arial" w:eastAsia="Arial" w:hAnsi="Arial"/>
          <w:b/>
          <w:bCs/>
          <w:color w:val="e8623a"/>
          <w:sz w:val="26"/>
          <w:szCs w:val="26"/>
        </w:rPr>
        <w:t xml:space="preserve">5. Working Protocol with Tamar — Established Standards</w:t>
      </w:r>
    </w:p>
    <w:p>
      <w:pPr>
        <w:bidi w:val="false"/>
        <w:spacing w:after="80" w:before="140" w:line="276"/>
        <w:jc w:val="left"/>
      </w:pPr>
      <w:r>
        <w:rPr>
          <w:rFonts w:ascii="Arial" w:cs="Arial" w:eastAsia="Arial" w:hAnsi="Arial"/>
          <w:b/>
          <w:bCs/>
          <w:color w:val="3a7bd5"/>
          <w:sz w:val="22"/>
          <w:szCs w:val="22"/>
        </w:rPr>
        <w:t xml:space="preserve">Document Format</w:t>
      </w:r>
    </w:p>
    <w:p>
      <w:pPr>
        <w:pStyle w:val="ListParagraph"/>
        <w:numPr>
          <w:ilvl w:val="0"/>
          <w:numId w:val="1"/>
        </w:numPr>
        <w:bidi w:val="false"/>
        <w:spacing w:after="80" w:line="276"/>
        <w:jc w:val="left"/>
      </w:pPr>
      <w:r>
        <w:rPr>
          <w:rFonts w:ascii="Arial" w:cs="Arial" w:eastAsia="Arial" w:hAnsi="Arial"/>
          <w:sz w:val="22"/>
          <w:szCs w:val="22"/>
        </w:rPr>
        <w:t xml:space="preserve">All legal documents: .docx format only (not PDF, not Markdown)</w:t>
      </w:r>
    </w:p>
    <w:p>
      <w:pPr>
        <w:pStyle w:val="ListParagraph"/>
        <w:numPr>
          <w:ilvl w:val="0"/>
          <w:numId w:val="1"/>
        </w:numPr>
        <w:bidi w:val="false"/>
        <w:spacing w:after="80" w:line="276"/>
        <w:jc w:val="left"/>
      </w:pPr>
      <w:r>
        <w:rPr>
          <w:rFonts w:ascii="Arial" w:cs="Arial" w:eastAsia="Arial" w:hAnsi="Arial"/>
          <w:sz w:val="22"/>
          <w:szCs w:val="22"/>
        </w:rPr>
        <w:t xml:space="preserve">Font: Arial (supports both Hebrew and English)</w:t>
      </w:r>
    </w:p>
    <w:p>
      <w:pPr>
        <w:pStyle w:val="ListParagraph"/>
        <w:numPr>
          <w:ilvl w:val="0"/>
          <w:numId w:val="1"/>
        </w:numPr>
        <w:bidi w:val="false"/>
        <w:spacing w:after="80" w:line="276"/>
        <w:jc w:val="left"/>
      </w:pPr>
      <w:r>
        <w:rPr>
          <w:rFonts w:ascii="Arial" w:cs="Arial" w:eastAsia="Arial" w:hAnsi="Arial"/>
          <w:sz w:val="22"/>
          <w:szCs w:val="22"/>
        </w:rPr>
        <w:t xml:space="preserve">Hebrew sections: RTL, right-aligned, bidirectional: true</w:t>
      </w:r>
    </w:p>
    <w:p>
      <w:pPr>
        <w:pStyle w:val="ListParagraph"/>
        <w:numPr>
          <w:ilvl w:val="0"/>
          <w:numId w:val="1"/>
        </w:numPr>
        <w:bidi w:val="false"/>
        <w:spacing w:after="80" w:line="276"/>
        <w:jc w:val="left"/>
      </w:pPr>
      <w:r>
        <w:rPr>
          <w:rFonts w:ascii="Arial" w:cs="Arial" w:eastAsia="Arial" w:hAnsi="Arial"/>
          <w:sz w:val="22"/>
          <w:szCs w:val="22"/>
        </w:rPr>
        <w:t xml:space="preserve">English sections: LTR, left-aligned</w:t>
      </w:r>
    </w:p>
    <w:p>
      <w:pPr>
        <w:pStyle w:val="ListParagraph"/>
        <w:numPr>
          <w:ilvl w:val="0"/>
          <w:numId w:val="1"/>
        </w:numPr>
        <w:bidi w:val="false"/>
        <w:spacing w:after="80" w:line="276"/>
        <w:jc w:val="left"/>
      </w:pPr>
      <w:r>
        <w:rPr>
          <w:rFonts w:ascii="Arial" w:cs="Arial" w:eastAsia="Arial" w:hAnsi="Arial"/>
          <w:sz w:val="22"/>
          <w:szCs w:val="22"/>
        </w:rPr>
        <w:t xml:space="preserve">Structure: English first → page break → Hebrew version</w:t>
      </w:r>
    </w:p>
    <w:p>
      <w:pPr>
        <w:pStyle w:val="ListParagraph"/>
        <w:numPr>
          <w:ilvl w:val="0"/>
          <w:numId w:val="1"/>
        </w:numPr>
        <w:bidi w:val="false"/>
        <w:spacing w:after="80" w:line="276"/>
        <w:jc w:val="left"/>
      </w:pPr>
      <w:r>
        <w:rPr>
          <w:rFonts w:ascii="Arial" w:cs="Arial" w:eastAsia="Arial" w:hAnsi="Arial"/>
          <w:sz w:val="22"/>
          <w:szCs w:val="22"/>
        </w:rPr>
        <w:t xml:space="preserve">Save location: /Users/nesher/Desktop/HypeShow/05_LEGAL/</w:t>
      </w:r>
    </w:p>
    <w:p>
      <w:pPr>
        <w:bidi w:val="false"/>
        <w:spacing w:after="80" w:before="140" w:line="276"/>
        <w:jc w:val="left"/>
      </w:pPr>
      <w:r>
        <w:rPr>
          <w:rFonts w:ascii="Arial" w:cs="Arial" w:eastAsia="Arial" w:hAnsi="Arial"/>
          <w:b/>
          <w:bCs/>
          <w:color w:val="3a7bd5"/>
          <w:sz w:val="22"/>
          <w:szCs w:val="22"/>
        </w:rPr>
        <w:t xml:space="preserve">Language Rules</w:t>
      </w:r>
    </w:p>
    <w:p>
      <w:pPr>
        <w:pStyle w:val="ListParagraph"/>
        <w:numPr>
          <w:ilvl w:val="0"/>
          <w:numId w:val="1"/>
        </w:numPr>
        <w:bidi w:val="false"/>
        <w:spacing w:after="80" w:line="276"/>
        <w:jc w:val="left"/>
      </w:pPr>
      <w:r>
        <w:rPr>
          <w:rFonts w:ascii="Arial" w:cs="Arial" w:eastAsia="Arial" w:hAnsi="Arial"/>
          <w:sz w:val="22"/>
          <w:szCs w:val="22"/>
        </w:rPr>
        <w:t xml:space="preserve">Hebrew text: Plural language (לשון רבים) — avoids gendered assumptions</w:t>
      </w:r>
    </w:p>
    <w:p>
      <w:pPr>
        <w:pStyle w:val="ListParagraph"/>
        <w:numPr>
          <w:ilvl w:val="0"/>
          <w:numId w:val="1"/>
        </w:numPr>
        <w:bidi w:val="false"/>
        <w:spacing w:after="80" w:line="276"/>
        <w:jc w:val="left"/>
      </w:pPr>
      <w:r>
        <w:rPr>
          <w:rFonts w:ascii="Arial" w:cs="Arial" w:eastAsia="Arial" w:hAnsi="Arial"/>
          <w:sz w:val="22"/>
          <w:szCs w:val="22"/>
        </w:rPr>
        <w:t xml:space="preserve">No double or em dashes (—) in Hebrew text — use single dash (-) only</w:t>
      </w:r>
    </w:p>
    <w:p>
      <w:pPr>
        <w:pStyle w:val="ListParagraph"/>
        <w:numPr>
          <w:ilvl w:val="0"/>
          <w:numId w:val="1"/>
        </w:numPr>
        <w:bidi w:val="false"/>
        <w:spacing w:after="80" w:line="276"/>
        <w:jc w:val="left"/>
      </w:pPr>
      <w:r>
        <w:rPr>
          <w:rFonts w:ascii="Arial" w:cs="Arial" w:eastAsia="Arial" w:hAnsi="Arial"/>
          <w:sz w:val="22"/>
          <w:szCs w:val="22"/>
        </w:rPr>
        <w:t xml:space="preserve">No long dashes in Hebrew — culturally and linguistically inappropriate</w:t>
      </w:r>
    </w:p>
    <w:p>
      <w:pPr>
        <w:bidi w:val="false"/>
        <w:spacing w:after="80" w:before="140" w:line="276"/>
        <w:jc w:val="left"/>
      </w:pPr>
      <w:r>
        <w:rPr>
          <w:rFonts w:ascii="Arial" w:cs="Arial" w:eastAsia="Arial" w:hAnsi="Arial"/>
          <w:b/>
          <w:bCs/>
          <w:color w:val="3a7bd5"/>
          <w:sz w:val="22"/>
          <w:szCs w:val="22"/>
        </w:rPr>
        <w:t xml:space="preserve">Review Process</w:t>
      </w:r>
    </w:p>
    <w:p>
      <w:pPr>
        <w:pStyle w:val="ListParagraph"/>
        <w:numPr>
          <w:ilvl w:val="0"/>
          <w:numId w:val="1"/>
        </w:numPr>
        <w:bidi w:val="false"/>
        <w:spacing w:after="80" w:line="276"/>
        <w:jc w:val="left"/>
      </w:pPr>
      <w:r>
        <w:rPr>
          <w:rFonts w:ascii="Arial" w:cs="Arial" w:eastAsia="Arial" w:hAnsi="Arial"/>
          <w:sz w:val="22"/>
          <w:szCs w:val="22"/>
        </w:rPr>
        <w:t xml:space="preserve">All documents reviewed at legal session on 2026-04-13 (Monday)</w:t>
      </w:r>
    </w:p>
    <w:p>
      <w:pPr>
        <w:pStyle w:val="ListParagraph"/>
        <w:numPr>
          <w:ilvl w:val="0"/>
          <w:numId w:val="1"/>
        </w:numPr>
        <w:bidi w:val="false"/>
        <w:spacing w:after="80" w:line="276"/>
        <w:jc w:val="left"/>
      </w:pPr>
      <w:r>
        <w:rPr>
          <w:rFonts w:ascii="Arial" w:cs="Arial" w:eastAsia="Arial" w:hAnsi="Arial"/>
          <w:sz w:val="22"/>
          <w:szCs w:val="22"/>
        </w:rPr>
        <w:t xml:space="preserve">Participants: Nadav + Tamar + Steve</w:t>
      </w:r>
    </w:p>
    <w:p>
      <w:pPr>
        <w:pStyle w:val="ListParagraph"/>
        <w:numPr>
          <w:ilvl w:val="0"/>
          <w:numId w:val="1"/>
        </w:numPr>
        <w:bidi w:val="false"/>
        <w:spacing w:after="80" w:line="276"/>
        <w:jc w:val="left"/>
      </w:pPr>
      <w:r>
        <w:rPr>
          <w:rFonts w:ascii="Arial" w:cs="Arial" w:eastAsia="Arial" w:hAnsi="Arial"/>
          <w:sz w:val="22"/>
          <w:szCs w:val="22"/>
        </w:rPr>
        <w:t xml:space="preserve">Documents in 05_LEGAL/ are draft versions — require Nadav sign-off before use</w:t>
      </w:r>
    </w:p>
    <w:p>
      <w:pPr>
        <w:bidi w:val="false"/>
        <w:spacing w:after="120" w:line="276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bidi w:val="false"/>
        <w:spacing w:after="120" w:before="200" w:line="276"/>
        <w:jc w:val="left"/>
      </w:pPr>
      <w:r>
        <w:rPr>
          <w:rFonts w:ascii="Arial" w:cs="Arial" w:eastAsia="Arial" w:hAnsi="Arial"/>
          <w:b/>
          <w:bCs/>
          <w:color w:val="e8623a"/>
          <w:sz w:val="26"/>
          <w:szCs w:val="26"/>
        </w:rPr>
        <w:t xml:space="preserve">6. Upcoming Legal Tasks</w:t>
      </w:r>
    </w:p>
    <w:p>
      <w:pPr>
        <w:pStyle w:val="ListParagraph"/>
        <w:numPr>
          <w:ilvl w:val="0"/>
          <w:numId w:val="1"/>
        </w:numPr>
        <w:bidi w:val="false"/>
        <w:spacing w:after="80" w:line="276"/>
        <w:jc w:val="left"/>
      </w:pPr>
      <w:r>
        <w:rPr>
          <w:rFonts w:ascii="Arial" w:cs="Arial" w:eastAsia="Arial" w:hAnsi="Arial"/>
          <w:sz w:val="22"/>
          <w:szCs w:val="22"/>
        </w:rPr>
        <w:t xml:space="preserve">2026-04-13 — Legal review session: Go through all 6 documents with Nadav and Steve</w:t>
      </w:r>
    </w:p>
    <w:p>
      <w:pPr>
        <w:pStyle w:val="ListParagraph"/>
        <w:numPr>
          <w:ilvl w:val="0"/>
          <w:numId w:val="1"/>
        </w:numPr>
        <w:bidi w:val="false"/>
        <w:spacing w:after="80" w:line="276"/>
        <w:jc w:val="left"/>
      </w:pPr>
      <w:r>
        <w:rPr>
          <w:rFonts w:ascii="Arial" w:cs="Arial" w:eastAsia="Arial" w:hAnsi="Arial"/>
          <w:sz w:val="22"/>
          <w:szCs w:val="22"/>
        </w:rPr>
        <w:t xml:space="preserve">After review — finalize documents and prepare for developer handoff</w:t>
      </w:r>
    </w:p>
    <w:p>
      <w:pPr>
        <w:pStyle w:val="ListParagraph"/>
        <w:numPr>
          <w:ilvl w:val="0"/>
          <w:numId w:val="1"/>
        </w:numPr>
        <w:bidi w:val="false"/>
        <w:spacing w:after="80" w:line="276"/>
        <w:jc w:val="left"/>
      </w:pPr>
      <w:r>
        <w:rPr>
          <w:rFonts w:ascii="Arial" w:cs="Arial" w:eastAsia="Arial" w:hAnsi="Arial"/>
          <w:sz w:val="22"/>
          <w:szCs w:val="22"/>
        </w:rPr>
        <w:t xml:space="preserve">Developer tasks: /privacy and /terms static pages, footer links, registration checkbox</w:t>
      </w:r>
    </w:p>
    <w:p>
      <w:pPr>
        <w:pStyle w:val="ListParagraph"/>
        <w:numPr>
          <w:ilvl w:val="0"/>
          <w:numId w:val="1"/>
        </w:numPr>
        <w:bidi w:val="false"/>
        <w:spacing w:after="80" w:line="276"/>
        <w:jc w:val="left"/>
      </w:pPr>
      <w:r>
        <w:rPr>
          <w:rFonts w:ascii="Arial" w:cs="Arial" w:eastAsia="Arial" w:hAnsi="Arial"/>
          <w:sz w:val="22"/>
          <w:szCs w:val="22"/>
        </w:rPr>
        <w:t xml:space="preserve">V2 — Freelancer Marketplace will require additional agreements</w:t>
      </w:r>
    </w:p>
    <w:p>
      <w:pPr>
        <w:bidi w:val="false"/>
        <w:spacing w:after="120" w:line="276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e8623a" w:sz="6"/>
        </w:pBdr>
        <w:spacing w:after="160"/>
      </w:pPr>
    </w:p>
    <w:p>
      <w:pPr>
        <w:bidi w:val="false"/>
        <w:spacing w:after="120" w:line="276"/>
        <w:jc w:val="left"/>
      </w:pPr>
      <w:r>
        <w:rPr>
          <w:rFonts w:ascii="Arial" w:cs="Arial" w:eastAsia="Arial" w:hAnsi="Arial"/>
          <w:color w:val="6e6e73"/>
          <w:sz w:val="20"/>
          <w:szCs w:val="20"/>
        </w:rPr>
        <w:t xml:space="preserve">This document serves as an internal working record. It is not a legal opinion. For binding legal advice, consult a licensed attorney.</w:t>
      </w:r>
    </w:p>
    <w:p>
      <w:pPr>
        <w:bidi w:val="false"/>
        <w:spacing w:after="120" w:line="276"/>
        <w:jc w:val="left"/>
      </w:pPr>
      <w:r>
        <w:rPr>
          <w:rFonts w:ascii="Arial" w:cs="Arial" w:eastAsia="Arial" w:hAnsi="Arial"/>
          <w:color w:val="6e6e73"/>
          <w:sz w:val="20"/>
          <w:szCs w:val="20"/>
        </w:rPr>
        <w:t xml:space="preserve">Prepared by: Tamar Cohen-Levi | tamar@hypeshow-legal.placeholder</w:t>
      </w:r>
    </w:p>
    <w:p>
      <w:r>
        <w:br/>
      </w:r>
    </w:p>
    <w:p>
      <w:pPr>
        <w:bidi/>
        <w:spacing w:after="160" w:line="276"/>
        <w:jc w:val="right"/>
      </w:pPr>
      <w:r>
        <w:rPr>
          <w:rFonts w:ascii="Arial" w:cs="Arial" w:eastAsia="Arial" w:hAnsi="Arial"/>
          <w:b/>
          <w:bCs/>
          <w:color w:val="1c1c1e"/>
          <w:sz w:val="32"/>
          <w:szCs w:val="32"/>
        </w:rPr>
        <w:t xml:space="preserve">HypeShow - סיכום שיחות משפטיות</w:t>
      </w:r>
    </w:p>
    <w:p>
      <w:pPr>
        <w:bidi/>
        <w:spacing w:after="120" w:line="276"/>
        <w:jc w:val="right"/>
      </w:pPr>
      <w:r>
        <w:rPr>
          <w:rFonts w:ascii="Arial" w:cs="Arial" w:eastAsia="Arial" w:hAnsi="Arial"/>
          <w:color w:val="6e6e73"/>
          <w:sz w:val="22"/>
          <w:szCs w:val="22"/>
        </w:rPr>
        <w:t xml:space="preserve">סוג מסמך: תיעוד שיחות עבודה ויומן החלטות</w:t>
      </w:r>
    </w:p>
    <w:p>
      <w:pPr>
        <w:pBdr>
          <w:bottom w:val="single" w:color="e8623a" w:sz="6"/>
        </w:pBdr>
        <w:spacing w:after="160"/>
      </w:pPr>
    </w:p>
    <w:p>
      <w:pPr>
        <w:bidi/>
        <w:spacing w:after="80" w:line="276"/>
        <w:jc w:val="right"/>
      </w:pPr>
      <w:r>
        <w:rPr>
          <w:rFonts w:ascii="Arial" w:cs="Arial" w:eastAsia="Arial" w:hAnsi="Arial"/>
          <w:b/>
          <w:bCs/>
          <w:color w:val="6e6e73"/>
          <w:sz w:val="22"/>
          <w:szCs w:val="22"/>
        </w:rPr>
        <w:t xml:space="preserve">תאריך: </w:t>
      </w:r>
      <w:r>
        <w:rPr>
          <w:rFonts w:ascii="Arial" w:cs="Arial" w:eastAsia="Arial" w:hAnsi="Arial"/>
          <w:sz w:val="22"/>
          <w:szCs w:val="22"/>
        </w:rPr>
        <w:t xml:space="preserve">06.04.2026 - 10.04.2026</w:t>
      </w:r>
    </w:p>
    <w:p>
      <w:pPr>
        <w:bidi/>
        <w:spacing w:after="80" w:line="276"/>
        <w:jc w:val="right"/>
      </w:pPr>
      <w:r>
        <w:rPr>
          <w:rFonts w:ascii="Arial" w:cs="Arial" w:eastAsia="Arial" w:hAnsi="Arial"/>
          <w:b/>
          <w:bCs/>
          <w:color w:val="6e6e73"/>
          <w:sz w:val="22"/>
          <w:szCs w:val="22"/>
        </w:rPr>
        <w:t xml:space="preserve">הוכן על ידי: </w:t>
      </w:r>
      <w:r>
        <w:rPr>
          <w:rFonts w:ascii="Arial" w:cs="Arial" w:eastAsia="Arial" w:hAnsi="Arial"/>
          <w:sz w:val="22"/>
          <w:szCs w:val="22"/>
        </w:rPr>
        <w:t xml:space="preserve">תמר כהן-לוי, יועצת משפטית (פרילאנסרית)</w:t>
      </w:r>
    </w:p>
    <w:p>
      <w:pPr>
        <w:bidi/>
        <w:spacing w:after="80" w:line="276"/>
        <w:jc w:val="right"/>
      </w:pPr>
      <w:r>
        <w:rPr>
          <w:rFonts w:ascii="Arial" w:cs="Arial" w:eastAsia="Arial" w:hAnsi="Arial"/>
          <w:b/>
          <w:bCs/>
          <w:color w:val="6e6e73"/>
          <w:sz w:val="22"/>
          <w:szCs w:val="22"/>
        </w:rPr>
        <w:t xml:space="preserve">משתתפים: </w:t>
      </w:r>
      <w:r>
        <w:rPr>
          <w:rFonts w:ascii="Arial" w:cs="Arial" w:eastAsia="Arial" w:hAnsi="Arial"/>
          <w:sz w:val="22"/>
          <w:szCs w:val="22"/>
        </w:rPr>
        <w:t xml:space="preserve">נדב דפני (Chairman &amp; Founder), סטיב (CEO), תמר כהן-לוי</w:t>
      </w:r>
    </w:p>
    <w:p>
      <w:pPr>
        <w:bidi/>
        <w:spacing w:after="80" w:line="276"/>
        <w:jc w:val="right"/>
      </w:pPr>
      <w:r>
        <w:rPr>
          <w:rFonts w:ascii="Arial" w:cs="Arial" w:eastAsia="Arial" w:hAnsi="Arial"/>
          <w:b/>
          <w:bCs/>
          <w:color w:val="6e6e73"/>
          <w:sz w:val="22"/>
          <w:szCs w:val="22"/>
        </w:rPr>
        <w:t xml:space="preserve">סטטוס המסמך: </w:t>
      </w:r>
      <w:r>
        <w:rPr>
          <w:rFonts w:ascii="Arial" w:cs="Arial" w:eastAsia="Arial" w:hAnsi="Arial"/>
          <w:sz w:val="22"/>
          <w:szCs w:val="22"/>
        </w:rPr>
        <w:t xml:space="preserve">פנימי - לא להפצה</w:t>
      </w:r>
    </w:p>
    <w:p>
      <w:pPr>
        <w:bidi w:val="false"/>
        <w:spacing w:after="120" w:line="276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bidi/>
        <w:spacing w:after="120" w:before="200" w:line="276"/>
        <w:jc w:val="right"/>
      </w:pPr>
      <w:r>
        <w:rPr>
          <w:rFonts w:ascii="Arial" w:cs="Arial" w:eastAsia="Arial" w:hAnsi="Arial"/>
          <w:b/>
          <w:bCs/>
          <w:color w:val="e8623a"/>
          <w:sz w:val="26"/>
          <w:szCs w:val="26"/>
        </w:rPr>
        <w:t xml:space="preserve">1. פרטי החברה שאושרו</w:t>
      </w:r>
    </w:p>
    <w:p>
      <w:pPr>
        <w:pStyle w:val="ListParagraph"/>
        <w:numPr>
          <w:ilvl w:val="0"/>
          <w:numId w:val="1"/>
        </w:numPr>
        <w:bidi/>
        <w:spacing w:after="80" w:line="276"/>
        <w:jc w:val="right"/>
      </w:pPr>
      <w:r>
        <w:rPr>
          <w:rFonts w:ascii="Arial" w:cs="Arial" w:eastAsia="Arial" w:hAnsi="Arial"/>
          <w:sz w:val="22"/>
          <w:szCs w:val="22"/>
        </w:rPr>
        <w:t xml:space="preserve">שם משפטי: נדב דפני אינטרנט ותוכנה בע"מ</w:t>
      </w:r>
    </w:p>
    <w:p>
      <w:pPr>
        <w:pStyle w:val="ListParagraph"/>
        <w:numPr>
          <w:ilvl w:val="0"/>
          <w:numId w:val="1"/>
        </w:numPr>
        <w:bidi/>
        <w:spacing w:after="80" w:line="276"/>
        <w:jc w:val="right"/>
      </w:pPr>
      <w:r>
        <w:rPr>
          <w:rFonts w:ascii="Arial" w:cs="Arial" w:eastAsia="Arial" w:hAnsi="Arial"/>
          <w:sz w:val="22"/>
          <w:szCs w:val="22"/>
        </w:rPr>
        <w:t xml:space="preserve">ח.פ.: 515039303</w:t>
      </w:r>
    </w:p>
    <w:p>
      <w:pPr>
        <w:pStyle w:val="ListParagraph"/>
        <w:numPr>
          <w:ilvl w:val="0"/>
          <w:numId w:val="1"/>
        </w:numPr>
        <w:bidi/>
        <w:spacing w:after="80" w:line="276"/>
        <w:jc w:val="right"/>
      </w:pPr>
      <w:r>
        <w:rPr>
          <w:rFonts w:ascii="Arial" w:cs="Arial" w:eastAsia="Arial" w:hAnsi="Arial"/>
          <w:sz w:val="22"/>
          <w:szCs w:val="22"/>
        </w:rPr>
        <w:t xml:space="preserve">מייסד: נדב דפני</w:t>
      </w:r>
    </w:p>
    <w:p>
      <w:pPr>
        <w:pStyle w:val="ListParagraph"/>
        <w:numPr>
          <w:ilvl w:val="0"/>
          <w:numId w:val="1"/>
        </w:numPr>
        <w:bidi/>
        <w:spacing w:after="80" w:line="276"/>
        <w:jc w:val="right"/>
      </w:pPr>
      <w:r>
        <w:rPr>
          <w:rFonts w:ascii="Arial" w:cs="Arial" w:eastAsia="Arial" w:hAnsi="Arial"/>
          <w:sz w:val="22"/>
          <w:szCs w:val="22"/>
        </w:rPr>
        <w:t xml:space="preserve">מוצר: HypeShow - פלטפורמת SaaS עם צוות ניהולי מדומה מבוסס AI</w:t>
      </w:r>
    </w:p>
    <w:p>
      <w:pPr>
        <w:pStyle w:val="ListParagraph"/>
        <w:numPr>
          <w:ilvl w:val="0"/>
          <w:numId w:val="1"/>
        </w:numPr>
        <w:bidi/>
        <w:spacing w:after="80" w:line="276"/>
        <w:jc w:val="right"/>
      </w:pPr>
      <w:r>
        <w:rPr>
          <w:rFonts w:ascii="Arial" w:cs="Arial" w:eastAsia="Arial" w:hAnsi="Arial"/>
          <w:sz w:val="22"/>
          <w:szCs w:val="22"/>
        </w:rPr>
        <w:t xml:space="preserve">שוק ראשי: ישראל. עתיד: התרחבות בינלאומית</w:t>
      </w:r>
    </w:p>
    <w:p>
      <w:pPr>
        <w:bidi w:val="false"/>
        <w:spacing w:after="120" w:line="276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bidi/>
        <w:spacing w:after="120" w:before="200" w:line="276"/>
        <w:jc w:val="right"/>
      </w:pPr>
      <w:r>
        <w:rPr>
          <w:rFonts w:ascii="Arial" w:cs="Arial" w:eastAsia="Arial" w:hAnsi="Arial"/>
          <w:b/>
          <w:bCs/>
          <w:color w:val="e8623a"/>
          <w:sz w:val="26"/>
          <w:szCs w:val="26"/>
        </w:rPr>
        <w:t xml:space="preserve">2. מסמכים שנוצרו בשיחות אלה</w:t>
      </w:r>
    </w:p>
    <w:p>
      <w:pPr>
        <w:bidi/>
        <w:spacing w:after="80" w:before="140" w:line="276"/>
        <w:jc w:val="right"/>
      </w:pPr>
      <w:r>
        <w:rPr>
          <w:rFonts w:ascii="Arial" w:cs="Arial" w:eastAsia="Arial" w:hAnsi="Arial"/>
          <w:b/>
          <w:bCs/>
          <w:color w:val="3a7bd5"/>
          <w:sz w:val="22"/>
          <w:szCs w:val="22"/>
        </w:rPr>
        <w:t xml:space="preserve">מסמכים מרכזיים (גרסה 1.5 - דו-לשוני)</w:t>
      </w:r>
    </w:p>
    <w:p>
      <w:pPr>
        <w:pStyle w:val="ListParagraph"/>
        <w:numPr>
          <w:ilvl w:val="0"/>
          <w:numId w:val="1"/>
        </w:numPr>
        <w:bidi/>
        <w:spacing w:after="80" w:line="276"/>
        <w:jc w:val="right"/>
      </w:pPr>
      <w:r>
        <w:rPr>
          <w:rFonts w:ascii="Arial" w:cs="Arial" w:eastAsia="Arial" w:hAnsi="Arial"/>
          <w:sz w:val="22"/>
          <w:szCs w:val="22"/>
        </w:rPr>
        <w:t xml:space="preserve">privacy-policy-tamar.docx - מדיניות פרטיות</w:t>
      </w:r>
    </w:p>
    <w:p>
      <w:pPr>
        <w:pStyle w:val="ListParagraph"/>
        <w:numPr>
          <w:ilvl w:val="0"/>
          <w:numId w:val="1"/>
        </w:numPr>
        <w:bidi/>
        <w:spacing w:after="80" w:line="276"/>
        <w:jc w:val="right"/>
      </w:pPr>
      <w:r>
        <w:rPr>
          <w:rFonts w:ascii="Arial" w:cs="Arial" w:eastAsia="Arial" w:hAnsi="Arial"/>
          <w:sz w:val="22"/>
          <w:szCs w:val="22"/>
        </w:rPr>
        <w:t xml:space="preserve">terms-of-service-tamar.docx - תנאי שימוש</w:t>
      </w:r>
    </w:p>
    <w:p>
      <w:pPr>
        <w:bidi/>
        <w:spacing w:after="80" w:before="140" w:line="276"/>
        <w:jc w:val="right"/>
      </w:pPr>
      <w:r>
        <w:rPr>
          <w:rFonts w:ascii="Arial" w:cs="Arial" w:eastAsia="Arial" w:hAnsi="Arial"/>
          <w:b/>
          <w:bCs/>
          <w:color w:val="3a7bd5"/>
          <w:sz w:val="22"/>
          <w:szCs w:val="22"/>
        </w:rPr>
        <w:t xml:space="preserve">מסמכים תומכים (גרסה 1.0 - דו-לשוני)</w:t>
      </w:r>
    </w:p>
    <w:p>
      <w:pPr>
        <w:pStyle w:val="ListParagraph"/>
        <w:numPr>
          <w:ilvl w:val="0"/>
          <w:numId w:val="1"/>
        </w:numPr>
        <w:bidi/>
        <w:spacing w:after="80" w:line="276"/>
        <w:jc w:val="right"/>
      </w:pPr>
      <w:r>
        <w:rPr>
          <w:rFonts w:ascii="Arial" w:cs="Arial" w:eastAsia="Arial" w:hAnsi="Arial"/>
          <w:sz w:val="22"/>
          <w:szCs w:val="22"/>
        </w:rPr>
        <w:t xml:space="preserve">cookie-policy-tamar.docx - מדיניות עוגיות</w:t>
      </w:r>
    </w:p>
    <w:p>
      <w:pPr>
        <w:pStyle w:val="ListParagraph"/>
        <w:numPr>
          <w:ilvl w:val="0"/>
          <w:numId w:val="1"/>
        </w:numPr>
        <w:bidi/>
        <w:spacing w:after="80" w:line="276"/>
        <w:jc w:val="right"/>
      </w:pPr>
      <w:r>
        <w:rPr>
          <w:rFonts w:ascii="Arial" w:cs="Arial" w:eastAsia="Arial" w:hAnsi="Arial"/>
          <w:sz w:val="22"/>
          <w:szCs w:val="22"/>
        </w:rPr>
        <w:t xml:space="preserve">acceptable-use-policy-tamar.docx - מדיניות שימוש מותר</w:t>
      </w:r>
    </w:p>
    <w:p>
      <w:pPr>
        <w:pStyle w:val="ListParagraph"/>
        <w:numPr>
          <w:ilvl w:val="0"/>
          <w:numId w:val="1"/>
        </w:numPr>
        <w:bidi/>
        <w:spacing w:after="80" w:line="276"/>
        <w:jc w:val="right"/>
      </w:pPr>
      <w:r>
        <w:rPr>
          <w:rFonts w:ascii="Arial" w:cs="Arial" w:eastAsia="Arial" w:hAnsi="Arial"/>
          <w:sz w:val="22"/>
          <w:szCs w:val="22"/>
        </w:rPr>
        <w:t xml:space="preserve">freelancer-agreement-tamar.docx - הסכם פרילאנסר</w:t>
      </w:r>
    </w:p>
    <w:p>
      <w:pPr>
        <w:pStyle w:val="ListParagraph"/>
        <w:numPr>
          <w:ilvl w:val="0"/>
          <w:numId w:val="1"/>
        </w:numPr>
        <w:bidi/>
        <w:spacing w:after="80" w:line="276"/>
        <w:jc w:val="right"/>
      </w:pPr>
      <w:r>
        <w:rPr>
          <w:rFonts w:ascii="Arial" w:cs="Arial" w:eastAsia="Arial" w:hAnsi="Arial"/>
          <w:sz w:val="22"/>
          <w:szCs w:val="22"/>
        </w:rPr>
        <w:t xml:space="preserve">nda-tamar.docx - הסכם סודיות</w:t>
      </w:r>
    </w:p>
    <w:p>
      <w:pPr>
        <w:bidi/>
        <w:spacing w:after="120" w:line="276"/>
        <w:jc w:val="right"/>
      </w:pPr>
      <w:r>
        <w:rPr>
          <w:rFonts w:ascii="Arial" w:cs="Arial" w:eastAsia="Arial" w:hAnsi="Arial"/>
          <w:sz w:val="22"/>
          <w:szCs w:val="22"/>
        </w:rPr>
        <w:t xml:space="preserve">כל המסמכים דו-לשוניים: אנגלית ראשונה, עברית לאחר מעבר עמוד. פורמט: docx. (פונט Arial, RTL לחלקים עבריים, LTR לחלקים אנגליים).</w:t>
      </w:r>
    </w:p>
    <w:p>
      <w:pPr>
        <w:bidi w:val="false"/>
        <w:spacing w:after="120" w:line="276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bidi/>
        <w:spacing w:after="120" w:before="200" w:line="276"/>
        <w:jc w:val="right"/>
      </w:pPr>
      <w:r>
        <w:rPr>
          <w:rFonts w:ascii="Arial" w:cs="Arial" w:eastAsia="Arial" w:hAnsi="Arial"/>
          <w:b/>
          <w:bCs/>
          <w:color w:val="e8623a"/>
          <w:sz w:val="26"/>
          <w:szCs w:val="26"/>
        </w:rPr>
        <w:t xml:space="preserve">3. החלטות משפטיות מרכזיות</w:t>
      </w:r>
    </w:p>
    <w:p>
      <w:pPr>
        <w:bidi/>
        <w:spacing w:after="80" w:before="140" w:line="276"/>
        <w:jc w:val="right"/>
      </w:pPr>
      <w:r>
        <w:rPr>
          <w:rFonts w:ascii="Arial" w:cs="Arial" w:eastAsia="Arial" w:hAnsi="Arial"/>
          <w:b/>
          <w:bCs/>
          <w:color w:val="3a7bd5"/>
          <w:sz w:val="22"/>
          <w:szCs w:val="22"/>
        </w:rPr>
        <w:t xml:space="preserve">סמכות שיפוט וחוק מחייב</w:t>
      </w:r>
    </w:p>
    <w:p>
      <w:pPr>
        <w:pStyle w:val="ListParagraph"/>
        <w:numPr>
          <w:ilvl w:val="0"/>
          <w:numId w:val="1"/>
        </w:numPr>
        <w:bidi/>
        <w:spacing w:after="80" w:line="276"/>
        <w:jc w:val="right"/>
      </w:pPr>
      <w:r>
        <w:rPr>
          <w:rFonts w:ascii="Arial" w:cs="Arial" w:eastAsia="Arial" w:hAnsi="Arial"/>
          <w:sz w:val="22"/>
          <w:szCs w:val="22"/>
        </w:rPr>
        <w:t xml:space="preserve">סמכות שיפוט: בית משפט מחוזי תל-אביב, ישראל</w:t>
      </w:r>
    </w:p>
    <w:p>
      <w:pPr>
        <w:pStyle w:val="ListParagraph"/>
        <w:numPr>
          <w:ilvl w:val="0"/>
          <w:numId w:val="1"/>
        </w:numPr>
        <w:bidi/>
        <w:spacing w:after="80" w:line="276"/>
        <w:jc w:val="right"/>
      </w:pPr>
      <w:r>
        <w:rPr>
          <w:rFonts w:ascii="Arial" w:cs="Arial" w:eastAsia="Arial" w:hAnsi="Arial"/>
          <w:sz w:val="22"/>
          <w:szCs w:val="22"/>
        </w:rPr>
        <w:t xml:space="preserve">חוק מחייב: חוק ישראלי</w:t>
      </w:r>
    </w:p>
    <w:p>
      <w:pPr>
        <w:pStyle w:val="ListParagraph"/>
        <w:numPr>
          <w:ilvl w:val="0"/>
          <w:numId w:val="1"/>
        </w:numPr>
        <w:bidi/>
        <w:spacing w:after="80" w:line="276"/>
        <w:jc w:val="right"/>
      </w:pPr>
      <w:r>
        <w:rPr>
          <w:rFonts w:ascii="Arial" w:cs="Arial" w:eastAsia="Arial" w:hAnsi="Arial"/>
          <w:sz w:val="22"/>
          <w:szCs w:val="22"/>
        </w:rPr>
        <w:t xml:space="preserve">כל מחלוקות ייפתרו אך ורק בתל-אביב</w:t>
      </w:r>
    </w:p>
    <w:p>
      <w:pPr>
        <w:bidi/>
        <w:spacing w:after="80" w:before="140" w:line="276"/>
        <w:jc w:val="right"/>
      </w:pPr>
      <w:r>
        <w:rPr>
          <w:rFonts w:ascii="Arial" w:cs="Arial" w:eastAsia="Arial" w:hAnsi="Arial"/>
          <w:b/>
          <w:bCs/>
          <w:color w:val="3a7bd5"/>
          <w:sz w:val="22"/>
          <w:szCs w:val="22"/>
        </w:rPr>
        <w:t xml:space="preserve">הגבלת גיל</w:t>
      </w:r>
    </w:p>
    <w:p>
      <w:pPr>
        <w:pStyle w:val="ListParagraph"/>
        <w:numPr>
          <w:ilvl w:val="0"/>
          <w:numId w:val="1"/>
        </w:numPr>
        <w:bidi/>
        <w:spacing w:after="80" w:line="276"/>
        <w:jc w:val="right"/>
      </w:pPr>
      <w:r>
        <w:rPr>
          <w:rFonts w:ascii="Arial" w:cs="Arial" w:eastAsia="Arial" w:hAnsi="Arial"/>
          <w:sz w:val="22"/>
          <w:szCs w:val="22"/>
        </w:rPr>
        <w:t xml:space="preserve">גיל מינימלי: 13 (תקן גלובלי - עומד ב-COPPA לגבי משתמשים אמריקאים)</w:t>
      </w:r>
    </w:p>
    <w:p>
      <w:pPr>
        <w:pStyle w:val="ListParagraph"/>
        <w:numPr>
          <w:ilvl w:val="0"/>
          <w:numId w:val="1"/>
        </w:numPr>
        <w:bidi/>
        <w:spacing w:after="80" w:line="276"/>
        <w:jc w:val="right"/>
      </w:pPr>
      <w:r>
        <w:rPr>
          <w:rFonts w:ascii="Arial" w:cs="Arial" w:eastAsia="Arial" w:hAnsi="Arial"/>
          <w:sz w:val="22"/>
          <w:szCs w:val="22"/>
        </w:rPr>
        <w:t xml:space="preserve">משתמשים מתחת לגיל 13 אינם מורשים להשתמש בפלטפורמה</w:t>
      </w:r>
    </w:p>
    <w:p>
      <w:pPr>
        <w:bidi/>
        <w:spacing w:after="80" w:before="140" w:line="276"/>
        <w:jc w:val="right"/>
      </w:pPr>
      <w:r>
        <w:rPr>
          <w:rFonts w:ascii="Arial" w:cs="Arial" w:eastAsia="Arial" w:hAnsi="Arial"/>
          <w:b/>
          <w:bCs/>
          <w:color w:val="3a7bd5"/>
          <w:sz w:val="22"/>
          <w:szCs w:val="22"/>
        </w:rPr>
        <w:t xml:space="preserve">כתב הסרת אחריות על AI - טקסט מאושר</w:t>
      </w:r>
    </w:p>
    <w:p>
      <w:pPr>
        <w:pStyle w:val="ListParagraph"/>
        <w:numPr>
          <w:ilvl w:val="0"/>
          <w:numId w:val="1"/>
        </w:numPr>
        <w:bidi/>
        <w:spacing w:after="80" w:line="276"/>
        <w:jc w:val="right"/>
      </w:pPr>
      <w:r>
        <w:rPr>
          <w:rFonts w:ascii="Arial" w:cs="Arial" w:eastAsia="Arial" w:hAnsi="Arial"/>
          <w:sz w:val="22"/>
          <w:szCs w:val="22"/>
        </w:rPr>
        <w:t xml:space="preserve">עברית: "סוכני AI עלולים לטעות. כל התכנים מיועדים למידע בלבד ואינם מהווים ייעוץ מקצועי - משפטי, פיננסי או עסקי."</w:t>
      </w:r>
    </w:p>
    <w:p>
      <w:pPr>
        <w:pStyle w:val="ListParagraph"/>
        <w:numPr>
          <w:ilvl w:val="0"/>
          <w:numId w:val="1"/>
        </w:numPr>
        <w:bidi/>
        <w:spacing w:after="80" w:line="276"/>
        <w:jc w:val="right"/>
      </w:pPr>
      <w:r>
        <w:rPr>
          <w:rFonts w:ascii="Arial" w:cs="Arial" w:eastAsia="Arial" w:hAnsi="Arial"/>
          <w:sz w:val="22"/>
          <w:szCs w:val="22"/>
        </w:rPr>
        <w:t xml:space="preserve">שימוש בלשון רבים בעברית - נמנע מהנחות מגדריות</w:t>
      </w:r>
    </w:p>
    <w:p>
      <w:pPr>
        <w:pStyle w:val="ListParagraph"/>
        <w:numPr>
          <w:ilvl w:val="0"/>
          <w:numId w:val="1"/>
        </w:numPr>
        <w:bidi/>
        <w:spacing w:after="80" w:line="276"/>
        <w:jc w:val="right"/>
      </w:pPr>
      <w:r>
        <w:rPr>
          <w:rFonts w:ascii="Arial" w:cs="Arial" w:eastAsia="Arial" w:hAnsi="Arial"/>
          <w:sz w:val="22"/>
          <w:szCs w:val="22"/>
        </w:rPr>
        <w:t xml:space="preserve">הכתב מוצג פעם אחת בעת ה-onboarding + בתיבת הסימון בהרשמה - לא בכל מודל צ'אט</w:t>
      </w:r>
    </w:p>
    <w:p>
      <w:pPr>
        <w:bidi/>
        <w:spacing w:after="80" w:before="140" w:line="276"/>
        <w:jc w:val="right"/>
      </w:pPr>
      <w:r>
        <w:rPr>
          <w:rFonts w:ascii="Arial" w:cs="Arial" w:eastAsia="Arial" w:hAnsi="Arial"/>
          <w:b/>
          <w:bCs/>
          <w:color w:val="3a7bd5"/>
          <w:sz w:val="22"/>
          <w:szCs w:val="22"/>
        </w:rPr>
        <w:t xml:space="preserve">מדיניות שמירת נתונים</w:t>
      </w:r>
    </w:p>
    <w:p>
      <w:pPr>
        <w:pStyle w:val="ListParagraph"/>
        <w:numPr>
          <w:ilvl w:val="0"/>
          <w:numId w:val="1"/>
        </w:numPr>
        <w:bidi/>
        <w:spacing w:after="80" w:line="276"/>
        <w:jc w:val="right"/>
      </w:pPr>
      <w:r>
        <w:rPr>
          <w:rFonts w:ascii="Arial" w:cs="Arial" w:eastAsia="Arial" w:hAnsi="Arial"/>
          <w:sz w:val="22"/>
          <w:szCs w:val="22"/>
        </w:rPr>
        <w:t xml:space="preserve">שיחות מלאות: 12 חודשים מהפעילות האחרונה, ואז נמחקות אוטומטית</w:t>
      </w:r>
    </w:p>
    <w:p>
      <w:pPr>
        <w:pStyle w:val="ListParagraph"/>
        <w:numPr>
          <w:ilvl w:val="0"/>
          <w:numId w:val="1"/>
        </w:numPr>
        <w:bidi/>
        <w:spacing w:after="80" w:line="276"/>
        <w:jc w:val="right"/>
      </w:pPr>
      <w:r>
        <w:rPr>
          <w:rFonts w:ascii="Arial" w:cs="Arial" w:eastAsia="Arial" w:hAnsi="Arial"/>
          <w:sz w:val="22"/>
          <w:szCs w:val="22"/>
        </w:rPr>
        <w:t xml:space="preserve">סיכומי שיחות: נשמרים עד למחיקת חשבון</w:t>
      </w:r>
    </w:p>
    <w:p>
      <w:pPr>
        <w:pStyle w:val="ListParagraph"/>
        <w:numPr>
          <w:ilvl w:val="0"/>
          <w:numId w:val="1"/>
        </w:numPr>
        <w:bidi/>
        <w:spacing w:after="80" w:line="276"/>
        <w:jc w:val="right"/>
      </w:pPr>
      <w:r>
        <w:rPr>
          <w:rFonts w:ascii="Arial" w:cs="Arial" w:eastAsia="Arial" w:hAnsi="Arial"/>
          <w:sz w:val="22"/>
          <w:szCs w:val="22"/>
        </w:rPr>
        <w:t xml:space="preserve">Seniority Score: נשמר עד למחיקת חשבון</w:t>
      </w:r>
    </w:p>
    <w:p>
      <w:pPr>
        <w:bidi/>
        <w:spacing w:after="80" w:before="140" w:line="276"/>
        <w:jc w:val="right"/>
      </w:pPr>
      <w:r>
        <w:rPr>
          <w:rFonts w:ascii="Arial" w:cs="Arial" w:eastAsia="Arial" w:hAnsi="Arial"/>
          <w:b/>
          <w:bCs/>
          <w:color w:val="3a7bd5"/>
          <w:sz w:val="22"/>
          <w:szCs w:val="22"/>
        </w:rPr>
        <w:t xml:space="preserve">אמצעי הגנה מפני תביעות</w:t>
      </w:r>
    </w:p>
    <w:p>
      <w:pPr>
        <w:pStyle w:val="ListParagraph"/>
        <w:numPr>
          <w:ilvl w:val="0"/>
          <w:numId w:val="1"/>
        </w:numPr>
        <w:bidi/>
        <w:spacing w:after="80" w:line="276"/>
        <w:jc w:val="right"/>
      </w:pPr>
      <w:r>
        <w:rPr>
          <w:rFonts w:ascii="Arial" w:cs="Arial" w:eastAsia="Arial" w:hAnsi="Arial"/>
          <w:sz w:val="22"/>
          <w:szCs w:val="22"/>
        </w:rPr>
        <w:t xml:space="preserve">הגבלת אחריות: עד 12 חודשי מנוי ששולמו על ידי המשתמש</w:t>
      </w:r>
    </w:p>
    <w:p>
      <w:pPr>
        <w:pStyle w:val="ListParagraph"/>
        <w:numPr>
          <w:ilvl w:val="0"/>
          <w:numId w:val="1"/>
        </w:numPr>
        <w:bidi/>
        <w:spacing w:after="80" w:line="276"/>
        <w:jc w:val="right"/>
      </w:pPr>
      <w:r>
        <w:rPr>
          <w:rFonts w:ascii="Arial" w:cs="Arial" w:eastAsia="Arial" w:hAnsi="Arial"/>
          <w:sz w:val="22"/>
          <w:szCs w:val="22"/>
        </w:rPr>
        <w:t xml:space="preserve">אין אחריות לאובדן רווחים, החלטות עסקיות, או נזקים עקיפים</w:t>
      </w:r>
    </w:p>
    <w:p>
      <w:pPr>
        <w:pStyle w:val="ListParagraph"/>
        <w:numPr>
          <w:ilvl w:val="0"/>
          <w:numId w:val="1"/>
        </w:numPr>
        <w:bidi/>
        <w:spacing w:after="80" w:line="276"/>
        <w:jc w:val="right"/>
      </w:pPr>
      <w:r>
        <w:rPr>
          <w:rFonts w:ascii="Arial" w:cs="Arial" w:eastAsia="Arial" w:hAnsi="Arial"/>
          <w:sz w:val="22"/>
          <w:szCs w:val="22"/>
        </w:rPr>
        <w:t xml:space="preserve">סעיף כוח עליון כלול</w:t>
      </w:r>
    </w:p>
    <w:p>
      <w:pPr>
        <w:pStyle w:val="ListParagraph"/>
        <w:numPr>
          <w:ilvl w:val="0"/>
          <w:numId w:val="1"/>
        </w:numPr>
        <w:bidi/>
        <w:spacing w:after="80" w:line="276"/>
        <w:jc w:val="right"/>
      </w:pPr>
      <w:r>
        <w:rPr>
          <w:rFonts w:ascii="Arial" w:cs="Arial" w:eastAsia="Arial" w:hAnsi="Arial"/>
          <w:sz w:val="22"/>
          <w:szCs w:val="22"/>
        </w:rPr>
        <w:t xml:space="preserve">סעיף שיפוי: המשתמש מפצה את HypeShow על תביעות צד שלישי שמקורן בתוכן המשתמש</w:t>
      </w:r>
    </w:p>
    <w:p>
      <w:pPr>
        <w:pStyle w:val="ListParagraph"/>
        <w:numPr>
          <w:ilvl w:val="0"/>
          <w:numId w:val="1"/>
        </w:numPr>
        <w:bidi/>
        <w:spacing w:after="80" w:line="276"/>
        <w:jc w:val="right"/>
      </w:pPr>
      <w:r>
        <w:rPr>
          <w:rFonts w:ascii="Arial" w:cs="Arial" w:eastAsia="Arial" w:hAnsi="Arial"/>
          <w:sz w:val="22"/>
          <w:szCs w:val="22"/>
        </w:rPr>
        <w:t xml:space="preserve">זכות תיקון חד-צדדי: HypeShow יכול לעדכן את התנאים עם הודעה של 30 יום במייל</w:t>
      </w:r>
    </w:p>
    <w:p>
      <w:pPr>
        <w:bidi w:val="false"/>
        <w:spacing w:after="120" w:line="276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bidi/>
        <w:spacing w:after="120" w:before="200" w:line="276"/>
        <w:jc w:val="right"/>
      </w:pPr>
      <w:r>
        <w:rPr>
          <w:rFonts w:ascii="Arial" w:cs="Arial" w:eastAsia="Arial" w:hAnsi="Arial"/>
          <w:b/>
          <w:bCs/>
          <w:color w:val="e8623a"/>
          <w:sz w:val="26"/>
          <w:szCs w:val="26"/>
        </w:rPr>
        <w:t xml:space="preserve">4. נהלי עבודה שנקבעו עם תמר</w:t>
      </w:r>
    </w:p>
    <w:p>
      <w:pPr>
        <w:bidi/>
        <w:spacing w:after="80" w:before="140" w:line="276"/>
        <w:jc w:val="right"/>
      </w:pPr>
      <w:r>
        <w:rPr>
          <w:rFonts w:ascii="Arial" w:cs="Arial" w:eastAsia="Arial" w:hAnsi="Arial"/>
          <w:b/>
          <w:bCs/>
          <w:color w:val="3a7bd5"/>
          <w:sz w:val="22"/>
          <w:szCs w:val="22"/>
        </w:rPr>
        <w:t xml:space="preserve">פורמט מסמכים</w:t>
      </w:r>
    </w:p>
    <w:p>
      <w:pPr>
        <w:pStyle w:val="ListParagraph"/>
        <w:numPr>
          <w:ilvl w:val="0"/>
          <w:numId w:val="1"/>
        </w:numPr>
        <w:bidi/>
        <w:spacing w:after="80" w:line="276"/>
        <w:jc w:val="right"/>
      </w:pPr>
      <w:r>
        <w:rPr>
          <w:rFonts w:ascii="Arial" w:cs="Arial" w:eastAsia="Arial" w:hAnsi="Arial"/>
          <w:sz w:val="22"/>
          <w:szCs w:val="22"/>
        </w:rPr>
        <w:t xml:space="preserve">כל המסמכים המשפטיים: פורמט docx בלבד - לא PDF, לא Markdown</w:t>
      </w:r>
    </w:p>
    <w:p>
      <w:pPr>
        <w:pStyle w:val="ListParagraph"/>
        <w:numPr>
          <w:ilvl w:val="0"/>
          <w:numId w:val="1"/>
        </w:numPr>
        <w:bidi/>
        <w:spacing w:after="80" w:line="276"/>
        <w:jc w:val="right"/>
      </w:pPr>
      <w:r>
        <w:rPr>
          <w:rFonts w:ascii="Arial" w:cs="Arial" w:eastAsia="Arial" w:hAnsi="Arial"/>
          <w:sz w:val="22"/>
          <w:szCs w:val="22"/>
        </w:rPr>
        <w:t xml:space="preserve">פונט: Arial - תומך עברית ואנגלית</w:t>
      </w:r>
    </w:p>
    <w:p>
      <w:pPr>
        <w:pStyle w:val="ListParagraph"/>
        <w:numPr>
          <w:ilvl w:val="0"/>
          <w:numId w:val="1"/>
        </w:numPr>
        <w:bidi/>
        <w:spacing w:after="80" w:line="276"/>
        <w:jc w:val="right"/>
      </w:pPr>
      <w:r>
        <w:rPr>
          <w:rFonts w:ascii="Arial" w:cs="Arial" w:eastAsia="Arial" w:hAnsi="Arial"/>
          <w:sz w:val="22"/>
          <w:szCs w:val="22"/>
        </w:rPr>
        <w:t xml:space="preserve">מבנה: אנגלית ראשונה - מעבר עמוד - גרסה עברית</w:t>
      </w:r>
    </w:p>
    <w:p>
      <w:pPr>
        <w:pStyle w:val="ListParagraph"/>
        <w:numPr>
          <w:ilvl w:val="0"/>
          <w:numId w:val="1"/>
        </w:numPr>
        <w:bidi/>
        <w:spacing w:after="80" w:line="276"/>
        <w:jc w:val="right"/>
      </w:pPr>
      <w:r>
        <w:rPr>
          <w:rFonts w:ascii="Arial" w:cs="Arial" w:eastAsia="Arial" w:hAnsi="Arial"/>
          <w:sz w:val="22"/>
          <w:szCs w:val="22"/>
        </w:rPr>
        <w:t xml:space="preserve">מיקום שמירה: /Users/nesher/Desktop/HypeShow/05_LEGAL/</w:t>
      </w:r>
    </w:p>
    <w:p>
      <w:pPr>
        <w:bidi/>
        <w:spacing w:after="80" w:before="140" w:line="276"/>
        <w:jc w:val="right"/>
      </w:pPr>
      <w:r>
        <w:rPr>
          <w:rFonts w:ascii="Arial" w:cs="Arial" w:eastAsia="Arial" w:hAnsi="Arial"/>
          <w:b/>
          <w:bCs/>
          <w:color w:val="3a7bd5"/>
          <w:sz w:val="22"/>
          <w:szCs w:val="22"/>
        </w:rPr>
        <w:t xml:space="preserve">כללי שפה</w:t>
      </w:r>
    </w:p>
    <w:p>
      <w:pPr>
        <w:pStyle w:val="ListParagraph"/>
        <w:numPr>
          <w:ilvl w:val="0"/>
          <w:numId w:val="1"/>
        </w:numPr>
        <w:bidi/>
        <w:spacing w:after="80" w:line="276"/>
        <w:jc w:val="right"/>
      </w:pPr>
      <w:r>
        <w:rPr>
          <w:rFonts w:ascii="Arial" w:cs="Arial" w:eastAsia="Arial" w:hAnsi="Arial"/>
          <w:sz w:val="22"/>
          <w:szCs w:val="22"/>
        </w:rPr>
        <w:t xml:space="preserve">טקסט עברי: לשון רבים - נמנע מהנחות מגדריות</w:t>
      </w:r>
    </w:p>
    <w:p>
      <w:pPr>
        <w:pStyle w:val="ListParagraph"/>
        <w:numPr>
          <w:ilvl w:val="0"/>
          <w:numId w:val="1"/>
        </w:numPr>
        <w:bidi/>
        <w:spacing w:after="80" w:line="276"/>
        <w:jc w:val="right"/>
      </w:pPr>
      <w:r>
        <w:rPr>
          <w:rFonts w:ascii="Arial" w:cs="Arial" w:eastAsia="Arial" w:hAnsi="Arial"/>
          <w:sz w:val="22"/>
          <w:szCs w:val="22"/>
        </w:rPr>
        <w:t xml:space="preserve">אין מקף ארוך (—) בטקסט עברי - שימוש במקף רגיל (-) בלבד</w:t>
      </w:r>
    </w:p>
    <w:p>
      <w:pPr>
        <w:bidi/>
        <w:spacing w:after="80" w:before="140" w:line="276"/>
        <w:jc w:val="right"/>
      </w:pPr>
      <w:r>
        <w:rPr>
          <w:rFonts w:ascii="Arial" w:cs="Arial" w:eastAsia="Arial" w:hAnsi="Arial"/>
          <w:b/>
          <w:bCs/>
          <w:color w:val="3a7bd5"/>
          <w:sz w:val="22"/>
          <w:szCs w:val="22"/>
        </w:rPr>
        <w:t xml:space="preserve">תהליך סקירה</w:t>
      </w:r>
    </w:p>
    <w:p>
      <w:pPr>
        <w:pStyle w:val="ListParagraph"/>
        <w:numPr>
          <w:ilvl w:val="0"/>
          <w:numId w:val="1"/>
        </w:numPr>
        <w:bidi/>
        <w:spacing w:after="80" w:line="276"/>
        <w:jc w:val="right"/>
      </w:pPr>
      <w:r>
        <w:rPr>
          <w:rFonts w:ascii="Arial" w:cs="Arial" w:eastAsia="Arial" w:hAnsi="Arial"/>
          <w:sz w:val="22"/>
          <w:szCs w:val="22"/>
        </w:rPr>
        <w:t xml:space="preserve">כל המסמכים ייסקרו בישיבה המשפטית ב-13.04.2026 (יום שני)</w:t>
      </w:r>
    </w:p>
    <w:p>
      <w:pPr>
        <w:pStyle w:val="ListParagraph"/>
        <w:numPr>
          <w:ilvl w:val="0"/>
          <w:numId w:val="1"/>
        </w:numPr>
        <w:bidi/>
        <w:spacing w:after="80" w:line="276"/>
        <w:jc w:val="right"/>
      </w:pPr>
      <w:r>
        <w:rPr>
          <w:rFonts w:ascii="Arial" w:cs="Arial" w:eastAsia="Arial" w:hAnsi="Arial"/>
          <w:sz w:val="22"/>
          <w:szCs w:val="22"/>
        </w:rPr>
        <w:t xml:space="preserve">משתתפים: נדב, תמר, סטיב</w:t>
      </w:r>
    </w:p>
    <w:p>
      <w:pPr>
        <w:pStyle w:val="ListParagraph"/>
        <w:numPr>
          <w:ilvl w:val="0"/>
          <w:numId w:val="1"/>
        </w:numPr>
        <w:bidi/>
        <w:spacing w:after="80" w:line="276"/>
        <w:jc w:val="right"/>
      </w:pPr>
      <w:r>
        <w:rPr>
          <w:rFonts w:ascii="Arial" w:cs="Arial" w:eastAsia="Arial" w:hAnsi="Arial"/>
          <w:sz w:val="22"/>
          <w:szCs w:val="22"/>
        </w:rPr>
        <w:t xml:space="preserve">המסמכים ב-05_LEGAL/ הם טיוטות - דורשות אישור נדב לפני שימוש</w:t>
      </w:r>
    </w:p>
    <w:p>
      <w:pPr>
        <w:bidi w:val="false"/>
        <w:spacing w:after="120" w:line="276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bidi/>
        <w:spacing w:after="120" w:before="200" w:line="276"/>
        <w:jc w:val="right"/>
      </w:pPr>
      <w:r>
        <w:rPr>
          <w:rFonts w:ascii="Arial" w:cs="Arial" w:eastAsia="Arial" w:hAnsi="Arial"/>
          <w:b/>
          <w:bCs/>
          <w:color w:val="e8623a"/>
          <w:sz w:val="26"/>
          <w:szCs w:val="26"/>
        </w:rPr>
        <w:t xml:space="preserve">5. משימות משפטיות קרובות</w:t>
      </w:r>
    </w:p>
    <w:p>
      <w:pPr>
        <w:pStyle w:val="ListParagraph"/>
        <w:numPr>
          <w:ilvl w:val="0"/>
          <w:numId w:val="1"/>
        </w:numPr>
        <w:bidi/>
        <w:spacing w:after="80" w:line="276"/>
        <w:jc w:val="right"/>
      </w:pPr>
      <w:r>
        <w:rPr>
          <w:rFonts w:ascii="Arial" w:cs="Arial" w:eastAsia="Arial" w:hAnsi="Arial"/>
          <w:sz w:val="22"/>
          <w:szCs w:val="22"/>
        </w:rPr>
        <w:t xml:space="preserve">13.04.2026 - ישיבת סקירה משפטית: עיון בכל 6 המסמכים עם נדב וסטיב</w:t>
      </w:r>
    </w:p>
    <w:p>
      <w:pPr>
        <w:pStyle w:val="ListParagraph"/>
        <w:numPr>
          <w:ilvl w:val="0"/>
          <w:numId w:val="1"/>
        </w:numPr>
        <w:bidi/>
        <w:spacing w:after="80" w:line="276"/>
        <w:jc w:val="right"/>
      </w:pPr>
      <w:r>
        <w:rPr>
          <w:rFonts w:ascii="Arial" w:cs="Arial" w:eastAsia="Arial" w:hAnsi="Arial"/>
          <w:sz w:val="22"/>
          <w:szCs w:val="22"/>
        </w:rPr>
        <w:t xml:space="preserve">לאחר סקירה - סיום מסמכים והכנה להעברה למפתח</w:t>
      </w:r>
    </w:p>
    <w:p>
      <w:pPr>
        <w:pStyle w:val="ListParagraph"/>
        <w:numPr>
          <w:ilvl w:val="0"/>
          <w:numId w:val="1"/>
        </w:numPr>
        <w:bidi/>
        <w:spacing w:after="80" w:line="276"/>
        <w:jc w:val="right"/>
      </w:pPr>
      <w:r>
        <w:rPr>
          <w:rFonts w:ascii="Arial" w:cs="Arial" w:eastAsia="Arial" w:hAnsi="Arial"/>
          <w:sz w:val="22"/>
          <w:szCs w:val="22"/>
        </w:rPr>
        <w:t xml:space="preserve">משימות מפתח: דפי /privacy ו-/terms סטטיים, קישורי footer, תיבת סימון בהרשמה</w:t>
      </w:r>
    </w:p>
    <w:p>
      <w:pPr>
        <w:pStyle w:val="ListParagraph"/>
        <w:numPr>
          <w:ilvl w:val="0"/>
          <w:numId w:val="1"/>
        </w:numPr>
        <w:bidi/>
        <w:spacing w:after="80" w:line="276"/>
        <w:jc w:val="right"/>
      </w:pPr>
      <w:r>
        <w:rPr>
          <w:rFonts w:ascii="Arial" w:cs="Arial" w:eastAsia="Arial" w:hAnsi="Arial"/>
          <w:sz w:val="22"/>
          <w:szCs w:val="22"/>
        </w:rPr>
        <w:t xml:space="preserve">V2 - Freelancer Marketplace יצריך הסכמים נוספים</w:t>
      </w:r>
    </w:p>
    <w:p>
      <w:pPr>
        <w:bidi w:val="false"/>
        <w:spacing w:after="120" w:line="276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e8623a" w:sz="6"/>
        </w:pBdr>
        <w:spacing w:after="160"/>
      </w:pPr>
    </w:p>
    <w:p>
      <w:pPr>
        <w:bidi/>
        <w:spacing w:after="120" w:line="276"/>
        <w:jc w:val="right"/>
      </w:pPr>
      <w:r>
        <w:rPr>
          <w:rFonts w:ascii="Arial" w:cs="Arial" w:eastAsia="Arial" w:hAnsi="Arial"/>
          <w:color w:val="6e6e73"/>
          <w:sz w:val="20"/>
          <w:szCs w:val="20"/>
        </w:rPr>
        <w:t xml:space="preserve">מסמך זה משמש כרשומת עבודה פנימית. אינו חוות דעת משפטית. לייעוץ משפטי מחייב, פנו לעורך דין מורשה.</w:t>
      </w:r>
    </w:p>
    <w:p>
      <w:pPr>
        <w:bidi/>
        <w:spacing w:after="120" w:line="276"/>
        <w:jc w:val="right"/>
      </w:pPr>
      <w:r>
        <w:rPr>
          <w:rFonts w:ascii="Arial" w:cs="Arial" w:eastAsia="Arial" w:hAnsi="Arial"/>
          <w:color w:val="6e6e73"/>
          <w:sz w:val="20"/>
          <w:szCs w:val="20"/>
        </w:rPr>
        <w:t xml:space="preserve">הוכן על ידי: תמר כהן-לוי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2026-04-10T08:38:09.129Z</dcterms:created>
  <dcterms:modified xsi:type="dcterms:W3CDTF">2026-04-10T08:38:09.130Z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