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val="false"/>
        <w:spacing w:after="60" w:before="60"/>
        <w:jc w:val="left"/>
      </w:pPr>
      <w:r>
        <w:rPr>
          <w:rFonts w:ascii="Arial" w:cs="Arial" w:eastAsia="Arial" w:hAnsi="Arial"/>
          <w:b/>
          <w:bCs/>
          <w:color w:val="999999"/>
          <w:sz w:val="22"/>
          <w:szCs w:val="22"/>
        </w:rPr>
        <w:t xml:space="preserve">— ENGLISH VERSION —</w:t>
      </w:r>
    </w:p>
    <w:p>
      <w:pPr>
        <w:bidi w:val="false"/>
        <w:spacing w:after="60" w:before="0"/>
        <w:jc w:val="left"/>
      </w:pPr>
      <w:r>
        <w:rPr>
          <w:rFonts w:ascii="Arial" w:cs="Arial" w:eastAsia="Arial" w:hAnsi="Arial"/>
          <w:b/>
          <w:bCs/>
          <w:color w:val="1C1C1E"/>
          <w:sz w:val="40"/>
          <w:szCs w:val="40"/>
        </w:rPr>
        <w:t xml:space="preserve">Non-Disclosure Agreement (NDA)</w:t>
      </w:r>
    </w:p>
    <w:p>
      <w:pPr>
        <w:bidi w:val="false"/>
        <w:spacing w:after="160"/>
        <w:jc w:val="left"/>
      </w:pPr>
      <w:r>
        <w:rPr>
          <w:rFonts w:ascii="Arial" w:cs="Arial" w:eastAsia="Arial" w:hAnsi="Arial"/>
          <w:b w:val="false"/>
          <w:bCs w:val="false"/>
          <w:color w:val="6E6E73"/>
          <w:sz w:val="20"/>
          <w:szCs w:val="20"/>
        </w:rPr>
        <w:t xml:space="preserve">HypeShow | Nadav Dafni Internet &amp; Software Ltd., Co. No. 515039303 | Version 1.0 | April 2026</w:t>
      </w:r>
    </w:p>
    <w:p>
      <w:pPr>
        <w:pBdr>
          <w:bottom w:val="single" w:color="2D6A4F" w:sz="16" w:space="1"/>
        </w:pBdr>
        <w:bidi w:val="false"/>
        <w:spacing w:after="40" w:before="40"/>
        <w:jc w:val="left"/>
      </w:pPr>
      <w:r>
        <w:rPr>
          <w:rFonts w:ascii="Arial" w:cs="Arial" w:eastAsia="Arial" w:hAnsi="Arial"/>
          <w:b w:val="false"/>
          <w:bCs w:val="false"/>
          <w:color w:val="1C1C1E"/>
          <w:sz w:val="20"/>
          <w:szCs w:val="20"/>
        </w:rPr>
        <w:t xml:space="preserve"> </w:t>
      </w:r>
    </w:p>
    <w:p>
      <w:pPr>
        <w:bidi w:val="false"/>
        <w:spacing w:after="100" w:before="0" w:line="276"/>
        <w:jc w:val="left"/>
      </w:pPr>
      <w:r>
        <w:rPr>
          <w:rFonts w:ascii="Arial" w:cs="Arial" w:eastAsia="Arial" w:hAnsi="Arial"/>
          <w:b w:val="false"/>
          <w:bCs w:val="false"/>
          <w:color w:val="1C1C1E"/>
          <w:sz w:val="20"/>
          <w:szCs w:val="20"/>
        </w:rPr>
        <w:t xml:space="preserve">This Non-Disclosure Agreement ("Agreement") is entered into as of _____________ between Nadav Dafni Internet &amp; Software Ltd. ("Disclosing Party") and the party identified below ("Receiving Party"). The purpose of this Agreement is to protect confidential information shared in connection with a potential or existing business relationship.</w:t>
      </w:r>
    </w:p>
    <w:p>
      <w:pPr>
        <w:spacing w:after="0" w:before="0"/>
      </w:pPr>
      <w:r>
        <w:rPr>
          <w:rFonts w:ascii="Arial" w:cs="Arial" w:eastAsia="Arial" w:hAnsi="Arial"/>
          <w:b w:val="false"/>
          <w:bCs w:val="false"/>
          <w:color w:val="1C1C1E"/>
          <w:sz w:val="20"/>
          <w:szCs w:val="20"/>
        </w:rPr>
        <w:t xml:space="preserve"/>
      </w:r>
    </w:p>
    <w:p>
      <w:pPr>
        <w:bidi w:val="false"/>
        <w:spacing w:after="80" w:before="200" w:line="276"/>
        <w:jc w:val="left"/>
      </w:pPr>
      <w:r>
        <w:rPr>
          <w:rFonts w:ascii="Arial" w:cs="Arial" w:eastAsia="Arial" w:hAnsi="Arial"/>
          <w:b/>
          <w:bCs/>
          <w:color w:val="2D6A4F"/>
          <w:sz w:val="26"/>
          <w:szCs w:val="26"/>
        </w:rPr>
        <w:t xml:space="preserve">1. Receiving Party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65"/>
        <w:gridCol w:w="3373"/>
      </w:tblGrid>
      <w:tr>
        <w:tc>
          <w:tcPr>
            <w:tcW w:type="dxa" w:w="6265"/>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center"/>
          </w:tcPr>
          <w:p>
            <w:pPr>
              <w:bidi w:val="false"/>
              <w:spacing w:after="0"/>
              <w:jc w:val="left"/>
            </w:pPr>
            <w:r>
              <w:rPr>
                <w:rFonts w:ascii="Arial" w:cs="Arial" w:eastAsia="Arial" w:hAnsi="Arial"/>
                <w:b/>
                <w:bCs/>
                <w:color w:val="1C1C1E"/>
                <w:sz w:val="18"/>
                <w:szCs w:val="18"/>
              </w:rPr>
              <w:t xml:space="preserve">Details</w:t>
            </w:r>
          </w:p>
        </w:tc>
        <w:tc>
          <w:tcPr>
            <w:tcW w:type="dxa" w:w="3373"/>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center"/>
          </w:tcPr>
          <w:p>
            <w:pPr>
              <w:bidi w:val="false"/>
              <w:spacing w:after="0"/>
              <w:jc w:val="left"/>
            </w:pPr>
            <w:r>
              <w:rPr>
                <w:rFonts w:ascii="Arial" w:cs="Arial" w:eastAsia="Arial" w:hAnsi="Arial"/>
                <w:b/>
                <w:bCs/>
                <w:color w:val="1C1C1E"/>
                <w:sz w:val="18"/>
                <w:szCs w:val="18"/>
              </w:rPr>
              <w:t xml:space="preserve">Field</w:t>
            </w:r>
          </w:p>
        </w:tc>
      </w:tr>
      <w:tr>
        <w:tc>
          <w:tcPr>
            <w:tcW w:type="dxa" w:w="6265"/>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bidi w:val="false"/>
              <w:spacing w:after="0"/>
              <w:jc w:val="left"/>
            </w:pPr>
            <w:r>
              <w:rPr>
                <w:rFonts w:ascii="Arial" w:cs="Arial" w:eastAsia="Arial" w:hAnsi="Arial"/>
                <w:b w:val="false"/>
                <w:bCs w:val="false"/>
                <w:color w:val="1C1C1E"/>
                <w:sz w:val="18"/>
                <w:szCs w:val="18"/>
              </w:rPr>
              <w:t xml:space="preserve">________________________________________</w:t>
            </w:r>
          </w:p>
        </w:tc>
        <w:tc>
          <w:tcPr>
            <w:tcW w:type="dxa" w:w="3373"/>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bidi w:val="false"/>
              <w:spacing w:after="0"/>
              <w:jc w:val="left"/>
            </w:pPr>
            <w:r>
              <w:rPr>
                <w:rFonts w:ascii="Arial" w:cs="Arial" w:eastAsia="Arial" w:hAnsi="Arial"/>
                <w:b w:val="false"/>
                <w:bCs w:val="false"/>
                <w:color w:val="1C1C1E"/>
                <w:sz w:val="18"/>
                <w:szCs w:val="18"/>
              </w:rPr>
              <w:t xml:space="preserve">Full Name / Company Name</w:t>
            </w:r>
          </w:p>
        </w:tc>
      </w:tr>
      <w:tr>
        <w:tc>
          <w:tcPr>
            <w:tcW w:type="dxa" w:w="6265"/>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bidi w:val="false"/>
              <w:spacing w:after="0"/>
              <w:jc w:val="left"/>
            </w:pPr>
            <w:r>
              <w:rPr>
                <w:rFonts w:ascii="Arial" w:cs="Arial" w:eastAsia="Arial" w:hAnsi="Arial"/>
                <w:b w:val="false"/>
                <w:bCs w:val="false"/>
                <w:color w:val="1C1C1E"/>
                <w:sz w:val="18"/>
                <w:szCs w:val="18"/>
              </w:rPr>
              <w:t xml:space="preserve">________________________________________</w:t>
            </w:r>
          </w:p>
        </w:tc>
        <w:tc>
          <w:tcPr>
            <w:tcW w:type="dxa" w:w="3373"/>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bidi w:val="false"/>
              <w:spacing w:after="0"/>
              <w:jc w:val="left"/>
            </w:pPr>
            <w:r>
              <w:rPr>
                <w:rFonts w:ascii="Arial" w:cs="Arial" w:eastAsia="Arial" w:hAnsi="Arial"/>
                <w:b w:val="false"/>
                <w:bCs w:val="false"/>
                <w:color w:val="1C1C1E"/>
                <w:sz w:val="18"/>
                <w:szCs w:val="18"/>
              </w:rPr>
              <w:t xml:space="preserve">ID / Company No.</w:t>
            </w:r>
          </w:p>
        </w:tc>
      </w:tr>
      <w:tr>
        <w:tc>
          <w:tcPr>
            <w:tcW w:type="dxa" w:w="6265"/>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bidi w:val="false"/>
              <w:spacing w:after="0"/>
              <w:jc w:val="left"/>
            </w:pPr>
            <w:r>
              <w:rPr>
                <w:rFonts w:ascii="Arial" w:cs="Arial" w:eastAsia="Arial" w:hAnsi="Arial"/>
                <w:b w:val="false"/>
                <w:bCs w:val="false"/>
                <w:color w:val="1C1C1E"/>
                <w:sz w:val="18"/>
                <w:szCs w:val="18"/>
              </w:rPr>
              <w:t xml:space="preserve">________________________________________</w:t>
            </w:r>
          </w:p>
        </w:tc>
        <w:tc>
          <w:tcPr>
            <w:tcW w:type="dxa" w:w="3373"/>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bidi w:val="false"/>
              <w:spacing w:after="0"/>
              <w:jc w:val="left"/>
            </w:pPr>
            <w:r>
              <w:rPr>
                <w:rFonts w:ascii="Arial" w:cs="Arial" w:eastAsia="Arial" w:hAnsi="Arial"/>
                <w:b w:val="false"/>
                <w:bCs w:val="false"/>
                <w:color w:val="1C1C1E"/>
                <w:sz w:val="18"/>
                <w:szCs w:val="18"/>
              </w:rPr>
              <w:t xml:space="preserve">Address</w:t>
            </w:r>
          </w:p>
        </w:tc>
      </w:tr>
      <w:tr>
        <w:tc>
          <w:tcPr>
            <w:tcW w:type="dxa" w:w="6265"/>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bidi w:val="false"/>
              <w:spacing w:after="0"/>
              <w:jc w:val="left"/>
            </w:pPr>
            <w:r>
              <w:rPr>
                <w:rFonts w:ascii="Arial" w:cs="Arial" w:eastAsia="Arial" w:hAnsi="Arial"/>
                <w:b w:val="false"/>
                <w:bCs w:val="false"/>
                <w:color w:val="1C1C1E"/>
                <w:sz w:val="18"/>
                <w:szCs w:val="18"/>
              </w:rPr>
              <w:t xml:space="preserve">________________________________________</w:t>
            </w:r>
          </w:p>
        </w:tc>
        <w:tc>
          <w:tcPr>
            <w:tcW w:type="dxa" w:w="3373"/>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bidi w:val="false"/>
              <w:spacing w:after="0"/>
              <w:jc w:val="left"/>
            </w:pPr>
            <w:r>
              <w:rPr>
                <w:rFonts w:ascii="Arial" w:cs="Arial" w:eastAsia="Arial" w:hAnsi="Arial"/>
                <w:b w:val="false"/>
                <w:bCs w:val="false"/>
                <w:color w:val="1C1C1E"/>
                <w:sz w:val="18"/>
                <w:szCs w:val="18"/>
              </w:rPr>
              <w:t xml:space="preserve">Email</w:t>
            </w:r>
          </w:p>
        </w:tc>
      </w:tr>
      <w:tr>
        <w:tc>
          <w:tcPr>
            <w:tcW w:type="dxa" w:w="6265"/>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bidi w:val="false"/>
              <w:spacing w:after="0"/>
              <w:jc w:val="left"/>
            </w:pPr>
            <w:r>
              <w:rPr>
                <w:rFonts w:ascii="Arial" w:cs="Arial" w:eastAsia="Arial" w:hAnsi="Arial"/>
                <w:b w:val="false"/>
                <w:bCs w:val="false"/>
                <w:color w:val="1C1C1E"/>
                <w:sz w:val="18"/>
                <w:szCs w:val="18"/>
              </w:rPr>
              <w:t xml:space="preserve">Investor / Developer / Partner / Advisor / Other: ________</w:t>
            </w:r>
          </w:p>
        </w:tc>
        <w:tc>
          <w:tcPr>
            <w:tcW w:type="dxa" w:w="3373"/>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bidi w:val="false"/>
              <w:spacing w:after="0"/>
              <w:jc w:val="left"/>
            </w:pPr>
            <w:r>
              <w:rPr>
                <w:rFonts w:ascii="Arial" w:cs="Arial" w:eastAsia="Arial" w:hAnsi="Arial"/>
                <w:b w:val="false"/>
                <w:bCs w:val="false"/>
                <w:color w:val="1C1C1E"/>
                <w:sz w:val="18"/>
                <w:szCs w:val="18"/>
              </w:rPr>
              <w:t xml:space="preserve">Relationship to HypeShow</w:t>
            </w:r>
          </w:p>
        </w:tc>
      </w:tr>
    </w:tbl>
    <w:p>
      <w:pPr>
        <w:bidi w:val="false"/>
        <w:spacing w:after="80" w:before="200" w:line="276"/>
        <w:jc w:val="left"/>
      </w:pPr>
      <w:r>
        <w:rPr>
          <w:rFonts w:ascii="Arial" w:cs="Arial" w:eastAsia="Arial" w:hAnsi="Arial"/>
          <w:b/>
          <w:bCs/>
          <w:color w:val="2D6A4F"/>
          <w:sz w:val="26"/>
          <w:szCs w:val="26"/>
        </w:rPr>
        <w:t xml:space="preserve">2. Definition of Confidential Information</w:t>
      </w:r>
    </w:p>
    <w:p>
      <w:pPr>
        <w:bidi w:val="false"/>
        <w:spacing w:after="100" w:before="0" w:line="276"/>
        <w:jc w:val="left"/>
      </w:pPr>
      <w:r>
        <w:rPr>
          <w:rFonts w:ascii="Arial" w:cs="Arial" w:eastAsia="Arial" w:hAnsi="Arial"/>
          <w:b w:val="false"/>
          <w:bCs w:val="false"/>
          <w:color w:val="1C1C1E"/>
          <w:sz w:val="20"/>
          <w:szCs w:val="20"/>
        </w:rPr>
        <w:t xml:space="preserve">"Confidential Information" means any and all non-public information disclosed by the Disclosing Party, whether oral, written, or digital, including but not limited to:</w:t>
      </w:r>
    </w:p>
    <w:p>
      <w:pPr>
        <w:bidi w:val="false"/>
        <w:spacing w:after="100" w:before="0" w:line="276"/>
        <w:ind w:left="400"/>
        <w:jc w:val="left"/>
      </w:pPr>
      <w:r>
        <w:rPr>
          <w:rFonts w:ascii="Arial" w:cs="Arial" w:eastAsia="Arial" w:hAnsi="Arial"/>
          <w:b w:val="false"/>
          <w:bCs w:val="false"/>
          <w:color w:val="1C1C1E"/>
          <w:sz w:val="20"/>
          <w:szCs w:val="20"/>
        </w:rPr>
        <w:t xml:space="preserve">• Business plans, strategies, roadmaps, and financial projections.</w:t>
      </w:r>
    </w:p>
    <w:p>
      <w:pPr>
        <w:bidi w:val="false"/>
        <w:spacing w:after="100" w:before="0" w:line="276"/>
        <w:ind w:left="400"/>
        <w:jc w:val="left"/>
      </w:pPr>
      <w:r>
        <w:rPr>
          <w:rFonts w:ascii="Arial" w:cs="Arial" w:eastAsia="Arial" w:hAnsi="Arial"/>
          <w:b w:val="false"/>
          <w:bCs w:val="false"/>
          <w:color w:val="1C1C1E"/>
          <w:sz w:val="20"/>
          <w:szCs w:val="20"/>
        </w:rPr>
        <w:t xml:space="preserve">• AI system prompts, officer personas, and proprietary algorithms.</w:t>
      </w:r>
    </w:p>
    <w:p>
      <w:pPr>
        <w:bidi w:val="false"/>
        <w:spacing w:after="100" w:before="0" w:line="276"/>
        <w:ind w:left="400"/>
        <w:jc w:val="left"/>
      </w:pPr>
      <w:r>
        <w:rPr>
          <w:rFonts w:ascii="Arial" w:cs="Arial" w:eastAsia="Arial" w:hAnsi="Arial"/>
          <w:b w:val="false"/>
          <w:bCs w:val="false"/>
          <w:color w:val="1C1C1E"/>
          <w:sz w:val="20"/>
          <w:szCs w:val="20"/>
        </w:rPr>
        <w:t xml:space="preserve">• Source code, technical architecture, database schemas, and API designs.</w:t>
      </w:r>
    </w:p>
    <w:p>
      <w:pPr>
        <w:bidi w:val="false"/>
        <w:spacing w:after="100" w:before="0" w:line="276"/>
        <w:ind w:left="400"/>
        <w:jc w:val="left"/>
      </w:pPr>
      <w:r>
        <w:rPr>
          <w:rFonts w:ascii="Arial" w:cs="Arial" w:eastAsia="Arial" w:hAnsi="Arial"/>
          <w:b w:val="false"/>
          <w:bCs w:val="false"/>
          <w:color w:val="1C1C1E"/>
          <w:sz w:val="20"/>
          <w:szCs w:val="20"/>
        </w:rPr>
        <w:t xml:space="preserve">• User data, usage statistics, and Seniority Score methodology.</w:t>
      </w:r>
    </w:p>
    <w:p>
      <w:pPr>
        <w:bidi w:val="false"/>
        <w:spacing w:after="100" w:before="0" w:line="276"/>
        <w:ind w:left="400"/>
        <w:jc w:val="left"/>
      </w:pPr>
      <w:r>
        <w:rPr>
          <w:rFonts w:ascii="Arial" w:cs="Arial" w:eastAsia="Arial" w:hAnsi="Arial"/>
          <w:b w:val="false"/>
          <w:bCs w:val="false"/>
          <w:color w:val="1C1C1E"/>
          <w:sz w:val="20"/>
          <w:szCs w:val="20"/>
        </w:rPr>
        <w:t xml:space="preserve">• Pricing models, investor terms, and commercial agreements.</w:t>
      </w:r>
    </w:p>
    <w:p>
      <w:pPr>
        <w:bidi w:val="false"/>
        <w:spacing w:after="100" w:before="0" w:line="276"/>
        <w:ind w:left="400"/>
        <w:jc w:val="left"/>
      </w:pPr>
      <w:r>
        <w:rPr>
          <w:rFonts w:ascii="Arial" w:cs="Arial" w:eastAsia="Arial" w:hAnsi="Arial"/>
          <w:b w:val="false"/>
          <w:bCs w:val="false"/>
          <w:color w:val="1C1C1E"/>
          <w:sz w:val="20"/>
          <w:szCs w:val="20"/>
        </w:rPr>
        <w:t xml:space="preserve">• Any information marked "Confidential" or that a reasonable person would understand to be confidential.</w:t>
      </w:r>
    </w:p>
    <w:p>
      <w:pPr>
        <w:bidi w:val="false"/>
        <w:spacing w:after="80" w:before="200" w:line="276"/>
        <w:jc w:val="left"/>
      </w:pPr>
      <w:r>
        <w:rPr>
          <w:rFonts w:ascii="Arial" w:cs="Arial" w:eastAsia="Arial" w:hAnsi="Arial"/>
          <w:b/>
          <w:bCs/>
          <w:color w:val="2D6A4F"/>
          <w:sz w:val="26"/>
          <w:szCs w:val="26"/>
        </w:rPr>
        <w:t xml:space="preserve">3. Obligations of Receiving Party</w:t>
      </w:r>
    </w:p>
    <w:p>
      <w:pPr>
        <w:bidi w:val="false"/>
        <w:spacing w:after="100" w:before="0" w:line="276"/>
        <w:jc w:val="left"/>
      </w:pPr>
      <w:r>
        <w:rPr>
          <w:rFonts w:ascii="Arial" w:cs="Arial" w:eastAsia="Arial" w:hAnsi="Arial"/>
          <w:b w:val="false"/>
          <w:bCs w:val="false"/>
          <w:color w:val="1C1C1E"/>
          <w:sz w:val="20"/>
          <w:szCs w:val="20"/>
        </w:rPr>
        <w:t xml:space="preserve">The Receiving Party agrees to:</w:t>
      </w:r>
    </w:p>
    <w:p>
      <w:pPr>
        <w:bidi w:val="false"/>
        <w:spacing w:after="100" w:before="0" w:line="276"/>
        <w:ind w:left="400"/>
        <w:jc w:val="left"/>
      </w:pPr>
      <w:r>
        <w:rPr>
          <w:rFonts w:ascii="Arial" w:cs="Arial" w:eastAsia="Arial" w:hAnsi="Arial"/>
          <w:b w:val="false"/>
          <w:bCs w:val="false"/>
          <w:color w:val="1C1C1E"/>
          <w:sz w:val="20"/>
          <w:szCs w:val="20"/>
        </w:rPr>
        <w:t xml:space="preserve">• Hold all Confidential Information in strict confidence.</w:t>
      </w:r>
    </w:p>
    <w:p>
      <w:pPr>
        <w:bidi w:val="false"/>
        <w:spacing w:after="100" w:before="0" w:line="276"/>
        <w:ind w:left="400"/>
        <w:jc w:val="left"/>
      </w:pPr>
      <w:r>
        <w:rPr>
          <w:rFonts w:ascii="Arial" w:cs="Arial" w:eastAsia="Arial" w:hAnsi="Arial"/>
          <w:b w:val="false"/>
          <w:bCs w:val="false"/>
          <w:color w:val="1C1C1E"/>
          <w:sz w:val="20"/>
          <w:szCs w:val="20"/>
        </w:rPr>
        <w:t xml:space="preserve">• Use Confidential Information solely for the purpose of evaluating or executing the business relationship.</w:t>
      </w:r>
    </w:p>
    <w:p>
      <w:pPr>
        <w:bidi w:val="false"/>
        <w:spacing w:after="100" w:before="0" w:line="276"/>
        <w:ind w:left="400"/>
        <w:jc w:val="left"/>
      </w:pPr>
      <w:r>
        <w:rPr>
          <w:rFonts w:ascii="Arial" w:cs="Arial" w:eastAsia="Arial" w:hAnsi="Arial"/>
          <w:b w:val="false"/>
          <w:bCs w:val="false"/>
          <w:color w:val="1C1C1E"/>
          <w:sz w:val="20"/>
          <w:szCs w:val="20"/>
        </w:rPr>
        <w:t xml:space="preserve">• Not disclose Confidential Information to any third party without prior written consent.</w:t>
      </w:r>
    </w:p>
    <w:p>
      <w:pPr>
        <w:bidi w:val="false"/>
        <w:spacing w:after="100" w:before="0" w:line="276"/>
        <w:ind w:left="400"/>
        <w:jc w:val="left"/>
      </w:pPr>
      <w:r>
        <w:rPr>
          <w:rFonts w:ascii="Arial" w:cs="Arial" w:eastAsia="Arial" w:hAnsi="Arial"/>
          <w:b w:val="false"/>
          <w:bCs w:val="false"/>
          <w:color w:val="1C1C1E"/>
          <w:sz w:val="20"/>
          <w:szCs w:val="20"/>
        </w:rPr>
        <w:t xml:space="preserve">• Protect Confidential Information with at least the same level of care used to protect its own confidential information, but no less than reasonable care.</w:t>
      </w:r>
    </w:p>
    <w:p>
      <w:pPr>
        <w:bidi w:val="false"/>
        <w:spacing w:after="100" w:before="0" w:line="276"/>
        <w:ind w:left="400"/>
        <w:jc w:val="left"/>
      </w:pPr>
      <w:r>
        <w:rPr>
          <w:rFonts w:ascii="Arial" w:cs="Arial" w:eastAsia="Arial" w:hAnsi="Arial"/>
          <w:b w:val="false"/>
          <w:bCs w:val="false"/>
          <w:color w:val="1C1C1E"/>
          <w:sz w:val="20"/>
          <w:szCs w:val="20"/>
        </w:rPr>
        <w:t xml:space="preserve">• Immediately notify the Disclosing Party of any unauthorized disclosure or breach.</w:t>
      </w:r>
    </w:p>
    <w:p>
      <w:pPr>
        <w:bidi w:val="false"/>
        <w:spacing w:after="80" w:before="200" w:line="276"/>
        <w:jc w:val="left"/>
      </w:pPr>
      <w:r>
        <w:rPr>
          <w:rFonts w:ascii="Arial" w:cs="Arial" w:eastAsia="Arial" w:hAnsi="Arial"/>
          <w:b/>
          <w:bCs/>
          <w:color w:val="2D6A4F"/>
          <w:sz w:val="26"/>
          <w:szCs w:val="26"/>
        </w:rPr>
        <w:t xml:space="preserve">4. Exclusions</w:t>
      </w:r>
    </w:p>
    <w:p>
      <w:pPr>
        <w:bidi w:val="false"/>
        <w:spacing w:after="100" w:before="0" w:line="276"/>
        <w:jc w:val="left"/>
      </w:pPr>
      <w:r>
        <w:rPr>
          <w:rFonts w:ascii="Arial" w:cs="Arial" w:eastAsia="Arial" w:hAnsi="Arial"/>
          <w:b w:val="false"/>
          <w:bCs w:val="false"/>
          <w:color w:val="1C1C1E"/>
          <w:sz w:val="20"/>
          <w:szCs w:val="20"/>
        </w:rPr>
        <w:t xml:space="preserve">This Agreement does not apply to information that:</w:t>
      </w:r>
    </w:p>
    <w:p>
      <w:pPr>
        <w:bidi w:val="false"/>
        <w:spacing w:after="100" w:before="0" w:line="276"/>
        <w:ind w:left="400"/>
        <w:jc w:val="left"/>
      </w:pPr>
      <w:r>
        <w:rPr>
          <w:rFonts w:ascii="Arial" w:cs="Arial" w:eastAsia="Arial" w:hAnsi="Arial"/>
          <w:b w:val="false"/>
          <w:bCs w:val="false"/>
          <w:color w:val="1C1C1E"/>
          <w:sz w:val="20"/>
          <w:szCs w:val="20"/>
        </w:rPr>
        <w:t xml:space="preserve">• Is or becomes publicly available through no fault of the Receiving Party.</w:t>
      </w:r>
    </w:p>
    <w:p>
      <w:pPr>
        <w:bidi w:val="false"/>
        <w:spacing w:after="100" w:before="0" w:line="276"/>
        <w:ind w:left="400"/>
        <w:jc w:val="left"/>
      </w:pPr>
      <w:r>
        <w:rPr>
          <w:rFonts w:ascii="Arial" w:cs="Arial" w:eastAsia="Arial" w:hAnsi="Arial"/>
          <w:b w:val="false"/>
          <w:bCs w:val="false"/>
          <w:color w:val="1C1C1E"/>
          <w:sz w:val="20"/>
          <w:szCs w:val="20"/>
        </w:rPr>
        <w:t xml:space="preserve">• Was already known to the Receiving Party before disclosure.</w:t>
      </w:r>
    </w:p>
    <w:p>
      <w:pPr>
        <w:bidi w:val="false"/>
        <w:spacing w:after="100" w:before="0" w:line="276"/>
        <w:ind w:left="400"/>
        <w:jc w:val="left"/>
      </w:pPr>
      <w:r>
        <w:rPr>
          <w:rFonts w:ascii="Arial" w:cs="Arial" w:eastAsia="Arial" w:hAnsi="Arial"/>
          <w:b w:val="false"/>
          <w:bCs w:val="false"/>
          <w:color w:val="1C1C1E"/>
          <w:sz w:val="20"/>
          <w:szCs w:val="20"/>
        </w:rPr>
        <w:t xml:space="preserve">• Is independently developed by the Receiving Party without use of Confidential Information.</w:t>
      </w:r>
    </w:p>
    <w:p>
      <w:pPr>
        <w:bidi w:val="false"/>
        <w:spacing w:after="100" w:before="0" w:line="276"/>
        <w:ind w:left="400"/>
        <w:jc w:val="left"/>
      </w:pPr>
      <w:r>
        <w:rPr>
          <w:rFonts w:ascii="Arial" w:cs="Arial" w:eastAsia="Arial" w:hAnsi="Arial"/>
          <w:b w:val="false"/>
          <w:bCs w:val="false"/>
          <w:color w:val="1C1C1E"/>
          <w:sz w:val="20"/>
          <w:szCs w:val="20"/>
        </w:rPr>
        <w:t xml:space="preserve">• Is required to be disclosed by law or court order (with prompt written notice to the Disclosing Party).</w:t>
      </w:r>
    </w:p>
    <w:p>
      <w:pPr>
        <w:bidi w:val="false"/>
        <w:spacing w:after="80" w:before="200" w:line="276"/>
        <w:jc w:val="left"/>
      </w:pPr>
      <w:r>
        <w:rPr>
          <w:rFonts w:ascii="Arial" w:cs="Arial" w:eastAsia="Arial" w:hAnsi="Arial"/>
          <w:b/>
          <w:bCs/>
          <w:color w:val="2D6A4F"/>
          <w:sz w:val="26"/>
          <w:szCs w:val="26"/>
        </w:rPr>
        <w:t xml:space="preserve">5. Term</w:t>
      </w:r>
    </w:p>
    <w:p>
      <w:pPr>
        <w:bidi w:val="false"/>
        <w:spacing w:after="100" w:before="0" w:line="276"/>
        <w:jc w:val="left"/>
      </w:pPr>
      <w:r>
        <w:rPr>
          <w:rFonts w:ascii="Arial" w:cs="Arial" w:eastAsia="Arial" w:hAnsi="Arial"/>
          <w:b w:val="false"/>
          <w:bCs w:val="false"/>
          <w:color w:val="1C1C1E"/>
          <w:sz w:val="20"/>
          <w:szCs w:val="20"/>
        </w:rPr>
        <w:t xml:space="preserve">This Agreement is effective from the date of signing and remains in force for 3 years. The confidentiality obligations survive termination of any related business relationship.</w:t>
      </w:r>
    </w:p>
    <w:p>
      <w:pPr>
        <w:bidi w:val="false"/>
        <w:spacing w:after="80" w:before="200" w:line="276"/>
        <w:jc w:val="left"/>
      </w:pPr>
      <w:r>
        <w:rPr>
          <w:rFonts w:ascii="Arial" w:cs="Arial" w:eastAsia="Arial" w:hAnsi="Arial"/>
          <w:b/>
          <w:bCs/>
          <w:color w:val="2D6A4F"/>
          <w:sz w:val="26"/>
          <w:szCs w:val="26"/>
        </w:rPr>
        <w:t xml:space="preserve">6. Return or Destruction of Information</w:t>
      </w:r>
    </w:p>
    <w:p>
      <w:pPr>
        <w:bidi w:val="false"/>
        <w:spacing w:after="100" w:before="0" w:line="276"/>
        <w:jc w:val="left"/>
      </w:pPr>
      <w:r>
        <w:rPr>
          <w:rFonts w:ascii="Arial" w:cs="Arial" w:eastAsia="Arial" w:hAnsi="Arial"/>
          <w:b w:val="false"/>
          <w:bCs w:val="false"/>
          <w:color w:val="1C1C1E"/>
          <w:sz w:val="20"/>
          <w:szCs w:val="20"/>
        </w:rPr>
        <w:t xml:space="preserve">Upon request or termination of the business relationship, the Receiving Party shall promptly return or securely destroy all Confidential Information and certify such destruction in writing.</w:t>
      </w:r>
    </w:p>
    <w:p>
      <w:pPr>
        <w:bidi w:val="false"/>
        <w:spacing w:after="80" w:before="200" w:line="276"/>
        <w:jc w:val="left"/>
      </w:pPr>
      <w:r>
        <w:rPr>
          <w:rFonts w:ascii="Arial" w:cs="Arial" w:eastAsia="Arial" w:hAnsi="Arial"/>
          <w:b/>
          <w:bCs/>
          <w:color w:val="2D6A4F"/>
          <w:sz w:val="26"/>
          <w:szCs w:val="26"/>
        </w:rPr>
        <w:t xml:space="preserve">7. Remedies</w:t>
      </w:r>
    </w:p>
    <w:p>
      <w:pPr>
        <w:bidi w:val="false"/>
        <w:spacing w:after="100" w:before="0" w:line="276"/>
        <w:jc w:val="left"/>
      </w:pPr>
      <w:r>
        <w:rPr>
          <w:rFonts w:ascii="Arial" w:cs="Arial" w:eastAsia="Arial" w:hAnsi="Arial"/>
          <w:b w:val="false"/>
          <w:bCs w:val="false"/>
          <w:color w:val="1C1C1E"/>
          <w:sz w:val="20"/>
          <w:szCs w:val="20"/>
        </w:rPr>
        <w:t xml:space="preserve">The Receiving Party acknowledges that breach of this Agreement would cause irreparable harm for which monetary damages would be insufficient. The Disclosing Party shall be entitled to seek injunctive relief and any other remedies available at law or in equity.</w:t>
      </w:r>
    </w:p>
    <w:p>
      <w:pPr>
        <w:bidi w:val="false"/>
        <w:spacing w:after="80" w:before="200" w:line="276"/>
        <w:jc w:val="left"/>
      </w:pPr>
      <w:r>
        <w:rPr>
          <w:rFonts w:ascii="Arial" w:cs="Arial" w:eastAsia="Arial" w:hAnsi="Arial"/>
          <w:b/>
          <w:bCs/>
          <w:color w:val="2D6A4F"/>
          <w:sz w:val="26"/>
          <w:szCs w:val="26"/>
        </w:rPr>
        <w:t xml:space="preserve">8. Governing Law</w:t>
      </w:r>
    </w:p>
    <w:p>
      <w:pPr>
        <w:bidi w:val="false"/>
        <w:spacing w:after="100" w:before="0" w:line="276"/>
        <w:jc w:val="left"/>
      </w:pPr>
      <w:r>
        <w:rPr>
          <w:rFonts w:ascii="Arial" w:cs="Arial" w:eastAsia="Arial" w:hAnsi="Arial"/>
          <w:b w:val="false"/>
          <w:bCs w:val="false"/>
          <w:color w:val="1C1C1E"/>
          <w:sz w:val="20"/>
          <w:szCs w:val="20"/>
        </w:rPr>
        <w:t xml:space="preserve">This Agreement is governed by the laws of the State of Israel. Any dispute shall be submitted exclusively to the competent courts in Tel Aviv, Israel.</w:t>
      </w:r>
    </w:p>
    <w:p>
      <w:pPr>
        <w:spacing w:after="0" w:before="0"/>
      </w:pPr>
      <w:r>
        <w:rPr>
          <w:rFonts w:ascii="Arial" w:cs="Arial" w:eastAsia="Arial" w:hAnsi="Arial"/>
          <w:b w:val="false"/>
          <w:bCs w:val="false"/>
          <w:color w:val="1C1C1E"/>
          <w:sz w:val="20"/>
          <w:szCs w:val="20"/>
        </w:rPr>
        <w:t xml:space="preserve"/>
      </w:r>
    </w:p>
    <w:p>
      <w:pPr>
        <w:pBdr>
          <w:bottom w:val="single" w:color="CCCCCC" w:sz="4" w:space="1"/>
        </w:pBdr>
        <w:bidi w:val="false"/>
        <w:spacing w:after="60" w:before="60"/>
        <w:jc w:val="left"/>
      </w:pPr>
      <w:r>
        <w:rPr>
          <w:rFonts w:ascii="Arial" w:cs="Arial" w:eastAsia="Arial" w:hAnsi="Arial"/>
          <w:b w:val="false"/>
          <w:bCs w:val="false"/>
          <w:color w:val="1C1C1E"/>
          <w:sz w:val="20"/>
          <w:szCs w:val="20"/>
        </w:rPr>
        <w:t xml:space="preserve"> </w:t>
      </w:r>
    </w:p>
    <w:p>
      <w:pPr>
        <w:bidi w:val="false"/>
        <w:spacing w:after="100" w:before="0" w:line="276"/>
        <w:jc w:val="left"/>
      </w:pPr>
      <w:r>
        <w:rPr>
          <w:rFonts w:ascii="Arial" w:cs="Arial" w:eastAsia="Arial" w:hAnsi="Arial"/>
          <w:b/>
          <w:bCs/>
          <w:color w:val="1C1C1E"/>
          <w:sz w:val="22"/>
          <w:szCs w:val="22"/>
        </w:rPr>
        <w:t xml:space="preserve">Signatures</w:t>
      </w:r>
    </w:p>
    <w:p>
      <w:pPr>
        <w:spacing w:after="0" w:before="0"/>
      </w:pPr>
      <w:r>
        <w:rPr>
          <w:rFonts w:ascii="Arial" w:cs="Arial" w:eastAsia="Arial" w:hAnsi="Arial"/>
          <w:b w:val="false"/>
          <w:bCs w:val="false"/>
          <w:color w:val="1C1C1E"/>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19"/>
        <w:gridCol w:w="400"/>
        <w:gridCol w:w="4619"/>
      </w:tblGrid>
      <w:tr>
        <w:tc>
          <w:tcPr>
            <w:tcW w:type="dxa" w:w="4619"/>
            <w:tcBorders>
              <w:top w:val="none"/>
              <w:left w:val="none"/>
              <w:bottom w:val="none"/>
              <w:right w:val="none"/>
            </w:tcBorders>
          </w:tcPr>
          <w:p>
            <w:pPr>
              <w:pBdr>
                <w:bottom w:val="single" w:color="1C1C1E" w:sz="4" w:space="1"/>
              </w:pBdr>
              <w:bidi w:val="false"/>
              <w:spacing w:after="30"/>
              <w:jc w:val="left"/>
            </w:pPr>
            <w:r>
              <w:rPr>
                <w:rFonts w:ascii="Arial" w:cs="Arial" w:eastAsia="Arial" w:hAnsi="Arial"/>
                <w:b w:val="false"/>
                <w:bCs w:val="false"/>
                <w:color w:val="1C1C1E"/>
                <w:sz w:val="20"/>
                <w:szCs w:val="20"/>
              </w:rPr>
              <w:t xml:space="preserve">          </w:t>
            </w:r>
          </w:p>
          <w:p>
            <w:pPr>
              <w:bidi w:val="false"/>
              <w:spacing w:after="0" w:before="0" w:line="276"/>
              <w:jc w:val="left"/>
            </w:pPr>
            <w:r>
              <w:rPr>
                <w:rFonts w:ascii="Arial" w:cs="Arial" w:eastAsia="Arial" w:hAnsi="Arial"/>
                <w:b w:val="false"/>
                <w:bCs w:val="false"/>
                <w:color w:val="6E6E73"/>
                <w:sz w:val="17"/>
                <w:szCs w:val="17"/>
              </w:rPr>
              <w:t xml:space="preserve">Disclosing Party — Date</w:t>
            </w:r>
          </w:p>
        </w:tc>
        <w:tc>
          <w:tcPr>
            <w:tcW w:type="dxa" w:w="400"/>
            <w:tcBorders>
              <w:top w:val="none"/>
              <w:left w:val="none"/>
              <w:bottom w:val="none"/>
              <w:right w:val="none"/>
            </w:tcBorders>
          </w:tcPr>
          <w:p>
            <w:pPr>
              <w:spacing w:after="0" w:before="0"/>
            </w:pPr>
            <w:r>
              <w:rPr>
                <w:rFonts w:ascii="Arial" w:cs="Arial" w:eastAsia="Arial" w:hAnsi="Arial"/>
                <w:b w:val="false"/>
                <w:bCs w:val="false"/>
                <w:color w:val="1C1C1E"/>
                <w:sz w:val="20"/>
                <w:szCs w:val="20"/>
              </w:rPr>
              <w:t xml:space="preserve"/>
            </w:r>
          </w:p>
        </w:tc>
        <w:tc>
          <w:tcPr>
            <w:tcW w:type="dxa" w:w="4619"/>
            <w:tcBorders>
              <w:top w:val="none"/>
              <w:left w:val="none"/>
              <w:bottom w:val="none"/>
              <w:right w:val="none"/>
            </w:tcBorders>
          </w:tcPr>
          <w:p>
            <w:pPr>
              <w:pBdr>
                <w:bottom w:val="single" w:color="1C1C1E" w:sz="4" w:space="1"/>
              </w:pBdr>
              <w:bidi w:val="false"/>
              <w:spacing w:after="30"/>
              <w:jc w:val="left"/>
            </w:pPr>
            <w:r>
              <w:rPr>
                <w:rFonts w:ascii="Arial" w:cs="Arial" w:eastAsia="Arial" w:hAnsi="Arial"/>
                <w:b w:val="false"/>
                <w:bCs w:val="false"/>
                <w:color w:val="1C1C1E"/>
                <w:sz w:val="20"/>
                <w:szCs w:val="20"/>
              </w:rPr>
              <w:t xml:space="preserve">          </w:t>
            </w:r>
          </w:p>
          <w:p>
            <w:pPr>
              <w:bidi w:val="false"/>
              <w:spacing w:after="0" w:before="0" w:line="276"/>
              <w:jc w:val="left"/>
            </w:pPr>
            <w:r>
              <w:rPr>
                <w:rFonts w:ascii="Arial" w:cs="Arial" w:eastAsia="Arial" w:hAnsi="Arial"/>
                <w:b w:val="false"/>
                <w:bCs w:val="false"/>
                <w:color w:val="6E6E73"/>
                <w:sz w:val="17"/>
                <w:szCs w:val="17"/>
              </w:rPr>
              <w:t xml:space="preserve">Receiving Party — Date</w:t>
            </w:r>
          </w:p>
        </w:tc>
      </w:tr>
    </w:tbl>
    <w:p>
      <w:pPr>
        <w:spacing w:after="0" w:before="0"/>
      </w:pPr>
      <w:r>
        <w:rPr>
          <w:rFonts w:ascii="Arial" w:cs="Arial" w:eastAsia="Arial" w:hAnsi="Arial"/>
          <w:b w:val="false"/>
          <w:bCs w:val="false"/>
          <w:color w:val="1C1C1E"/>
          <w:sz w:val="20"/>
          <w:szCs w:val="20"/>
        </w:rPr>
        <w:t xml:space="preserve"/>
      </w:r>
    </w:p>
    <w:p>
      <w:pPr>
        <w:pBdr>
          <w:bottom w:val="single" w:color="CCCCCC" w:sz="4" w:space="1"/>
        </w:pBdr>
        <w:bidi w:val="false"/>
        <w:spacing w:after="60" w:before="60"/>
        <w:jc w:val="left"/>
      </w:pPr>
      <w:r>
        <w:rPr>
          <w:rFonts w:ascii="Arial" w:cs="Arial" w:eastAsia="Arial" w:hAnsi="Arial"/>
          <w:b w:val="false"/>
          <w:bCs w:val="false"/>
          <w:color w:val="1C1C1E"/>
          <w:sz w:val="20"/>
          <w:szCs w:val="20"/>
        </w:rPr>
        <w:t xml:space="preserve"> </w:t>
      </w:r>
    </w:p>
    <w:p>
      <w:pPr>
        <w:spacing w:after="0" w:before="0"/>
      </w:pPr>
      <w:r>
        <w:rPr>
          <w:rFonts w:ascii="Arial" w:cs="Arial" w:eastAsia="Arial" w:hAnsi="Arial"/>
          <w:b w:val="false"/>
          <w:bCs w:val="false"/>
          <w:color w:val="1C1C1E"/>
          <w:sz w:val="20"/>
          <w:szCs w:val="20"/>
        </w:rPr>
        <w:t xml:space="preserve"/>
      </w:r>
    </w:p>
    <w:p>
      <w:pPr>
        <w:bidi w:val="false"/>
        <w:spacing w:after="100" w:before="0" w:line="276"/>
        <w:jc w:val="left"/>
      </w:pPr>
      <w:r>
        <w:rPr>
          <w:rFonts w:ascii="Arial" w:cs="Arial" w:eastAsia="Arial" w:hAnsi="Arial"/>
          <w:b w:val="false"/>
          <w:bCs w:val="false"/>
          <w:color w:val="6E6E73"/>
          <w:sz w:val="17"/>
          <w:szCs w:val="17"/>
        </w:rPr>
        <w:t xml:space="preserve">Written by Tamar Cohen-Levi, Legal Advisor | NDA v1.0 | April 2026</w:t>
      </w:r>
    </w:p>
    <w:p>
      <w:pPr>
        <w:bidi w:val="false"/>
        <w:spacing w:after="100" w:before="0" w:line="276"/>
        <w:jc w:val="left"/>
      </w:pPr>
      <w:r>
        <w:rPr>
          <w:rFonts w:ascii="Arial" w:cs="Arial" w:eastAsia="Arial" w:hAnsi="Arial"/>
          <w:b w:val="false"/>
          <w:bCs w:val="false"/>
          <w:color w:val="7A4500"/>
          <w:sz w:val="17"/>
          <w:szCs w:val="17"/>
        </w:rPr>
        <w:t xml:space="preserve">This document is a draft. Verify with a licensed attorney before signing.</w:t>
      </w:r>
    </w:p>
    <w:p>
      <w:r>
        <w:br w:type="page"/>
      </w:r>
    </w:p>
    <w:p>
      <w:pPr>
        <w:bidi/>
        <w:spacing w:after="60" w:before="60"/>
        <w:jc w:val="right"/>
      </w:pPr>
      <w:r>
        <w:rPr>
          <w:rFonts w:ascii="Arial" w:cs="Arial" w:eastAsia="Arial" w:hAnsi="Arial"/>
          <w:b/>
          <w:bCs/>
          <w:color w:val="999999"/>
          <w:sz w:val="22"/>
          <w:szCs w:val="22"/>
        </w:rPr>
        <w:t xml:space="preserve">— גרסה עברית —</w:t>
      </w:r>
    </w:p>
    <w:p>
      <w:pPr>
        <w:bidi/>
        <w:spacing w:after="60" w:before="0"/>
        <w:jc w:val="right"/>
      </w:pPr>
      <w:r>
        <w:rPr>
          <w:rFonts w:ascii="Arial" w:cs="Arial" w:eastAsia="Arial" w:hAnsi="Arial"/>
          <w:b/>
          <w:bCs/>
          <w:color w:val="1C1C1E"/>
          <w:sz w:val="40"/>
          <w:szCs w:val="40"/>
        </w:rPr>
        <w:t xml:space="preserve">הסכם סודיות (NDA)</w:t>
      </w:r>
    </w:p>
    <w:p>
      <w:pPr>
        <w:bidi/>
        <w:spacing w:after="160"/>
        <w:jc w:val="right"/>
      </w:pPr>
      <w:r>
        <w:rPr>
          <w:rFonts w:ascii="Arial" w:cs="Arial" w:eastAsia="Arial" w:hAnsi="Arial"/>
          <w:b w:val="false"/>
          <w:bCs w:val="false"/>
          <w:color w:val="6E6E73"/>
          <w:sz w:val="20"/>
          <w:szCs w:val="20"/>
        </w:rPr>
        <w:t xml:space="preserve">HypeShow | נדב דפני אינטרנט ותוכנה בע"מ, ח.פ. 515039303 | גרסה 1.0 | אפריל 2026</w:t>
      </w:r>
    </w:p>
    <w:p>
      <w:pPr>
        <w:pBdr>
          <w:bottom w:val="single" w:color="2D6A4F" w:sz="16" w:space="1"/>
        </w:pBdr>
        <w:bidi w:val="false"/>
        <w:spacing w:after="40" w:before="40"/>
        <w:jc w:val="left"/>
      </w:pPr>
      <w:r>
        <w:rPr>
          <w:rFonts w:ascii="Arial" w:cs="Arial" w:eastAsia="Arial" w:hAnsi="Arial"/>
          <w:b w:val="false"/>
          <w:bCs w:val="false"/>
          <w:color w:val="1C1C1E"/>
          <w:sz w:val="20"/>
          <w:szCs w:val="20"/>
        </w:rPr>
        <w:t xml:space="preserve"> </w:t>
      </w:r>
    </w:p>
    <w:p>
      <w:pPr>
        <w:bidi/>
        <w:spacing w:after="100" w:before="0" w:line="276"/>
        <w:jc w:val="right"/>
      </w:pPr>
      <w:r>
        <w:rPr>
          <w:rFonts w:ascii="Arial" w:cs="Arial" w:eastAsia="Arial" w:hAnsi="Arial"/>
          <w:b w:val="false"/>
          <w:bCs w:val="false"/>
          <w:color w:val="1C1C1E"/>
          <w:sz w:val="20"/>
          <w:szCs w:val="20"/>
        </w:rPr>
        <w:t xml:space="preserve">הסכם סודיות זה ("ההסכם") נכרת ביום _____________ בין נדב דפני אינטרנט ותוכנה בע"מ ("הצד המגלה") לבין הצד המפורט להלן ("הצד המקבל"). מטרת הסכם זה היא להגן על מידע סודי המשותף במסגרת קשר עסקי פוטנציאלי או קיים.</w:t>
      </w:r>
    </w:p>
    <w:p>
      <w:pPr>
        <w:spacing w:after="0" w:before="0"/>
      </w:pPr>
      <w:r>
        <w:rPr>
          <w:rFonts w:ascii="Arial" w:cs="Arial" w:eastAsia="Arial" w:hAnsi="Arial"/>
          <w:b w:val="false"/>
          <w:bCs w:val="false"/>
          <w:color w:val="1C1C1E"/>
          <w:sz w:val="20"/>
          <w:szCs w:val="20"/>
        </w:rPr>
        <w:t xml:space="preserve"/>
      </w:r>
    </w:p>
    <w:p>
      <w:pPr>
        <w:bidi/>
        <w:spacing w:after="80" w:before="200" w:line="276"/>
        <w:jc w:val="right"/>
      </w:pPr>
      <w:r>
        <w:rPr>
          <w:rFonts w:ascii="Arial" w:cs="Arial" w:eastAsia="Arial" w:hAnsi="Arial"/>
          <w:b/>
          <w:bCs/>
          <w:color w:val="2D6A4F"/>
          <w:sz w:val="26"/>
          <w:szCs w:val="26"/>
        </w:rPr>
        <w:t xml:space="preserve">1. הצד המקבל</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65"/>
        <w:gridCol w:w="3373"/>
      </w:tblGrid>
      <w:tr>
        <w:tc>
          <w:tcPr>
            <w:tcW w:type="dxa" w:w="6265"/>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center"/>
          </w:tcPr>
          <w:p>
            <w:pPr>
              <w:bidi/>
              <w:spacing w:after="0"/>
              <w:jc w:val="right"/>
            </w:pPr>
            <w:r>
              <w:rPr>
                <w:rFonts w:ascii="Arial" w:cs="Arial" w:eastAsia="Arial" w:hAnsi="Arial"/>
                <w:b/>
                <w:bCs/>
                <w:color w:val="1C1C1E"/>
                <w:sz w:val="18"/>
                <w:szCs w:val="18"/>
              </w:rPr>
              <w:t xml:space="preserve">פרטים</w:t>
            </w:r>
          </w:p>
        </w:tc>
        <w:tc>
          <w:tcPr>
            <w:tcW w:type="dxa" w:w="3373"/>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center"/>
          </w:tcPr>
          <w:p>
            <w:pPr>
              <w:bidi/>
              <w:spacing w:after="0"/>
              <w:jc w:val="right"/>
            </w:pPr>
            <w:r>
              <w:rPr>
                <w:rFonts w:ascii="Arial" w:cs="Arial" w:eastAsia="Arial" w:hAnsi="Arial"/>
                <w:b/>
                <w:bCs/>
                <w:color w:val="1C1C1E"/>
                <w:sz w:val="18"/>
                <w:szCs w:val="18"/>
              </w:rPr>
              <w:t xml:space="preserve">שדה</w:t>
            </w:r>
          </w:p>
        </w:tc>
      </w:tr>
      <w:tr>
        <w:tc>
          <w:tcPr>
            <w:tcW w:type="dxa" w:w="6265"/>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bidi/>
              <w:spacing w:after="0"/>
              <w:jc w:val="right"/>
            </w:pPr>
            <w:r>
              <w:rPr>
                <w:rFonts w:ascii="Arial" w:cs="Arial" w:eastAsia="Arial" w:hAnsi="Arial"/>
                <w:b w:val="false"/>
                <w:bCs w:val="false"/>
                <w:color w:val="1C1C1E"/>
                <w:sz w:val="18"/>
                <w:szCs w:val="18"/>
              </w:rPr>
              <w:t xml:space="preserve">________________________________________</w:t>
            </w:r>
          </w:p>
        </w:tc>
        <w:tc>
          <w:tcPr>
            <w:tcW w:type="dxa" w:w="3373"/>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bidi/>
              <w:spacing w:after="0"/>
              <w:jc w:val="right"/>
            </w:pPr>
            <w:r>
              <w:rPr>
                <w:rFonts w:ascii="Arial" w:cs="Arial" w:eastAsia="Arial" w:hAnsi="Arial"/>
                <w:b w:val="false"/>
                <w:bCs w:val="false"/>
                <w:color w:val="1C1C1E"/>
                <w:sz w:val="18"/>
                <w:szCs w:val="18"/>
              </w:rPr>
              <w:t xml:space="preserve">שם מלא / שם חברה</w:t>
            </w:r>
          </w:p>
        </w:tc>
      </w:tr>
      <w:tr>
        <w:tc>
          <w:tcPr>
            <w:tcW w:type="dxa" w:w="6265"/>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bidi/>
              <w:spacing w:after="0"/>
              <w:jc w:val="right"/>
            </w:pPr>
            <w:r>
              <w:rPr>
                <w:rFonts w:ascii="Arial" w:cs="Arial" w:eastAsia="Arial" w:hAnsi="Arial"/>
                <w:b w:val="false"/>
                <w:bCs w:val="false"/>
                <w:color w:val="1C1C1E"/>
                <w:sz w:val="18"/>
                <w:szCs w:val="18"/>
              </w:rPr>
              <w:t xml:space="preserve">________________________________________</w:t>
            </w:r>
          </w:p>
        </w:tc>
        <w:tc>
          <w:tcPr>
            <w:tcW w:type="dxa" w:w="3373"/>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bidi/>
              <w:spacing w:after="0"/>
              <w:jc w:val="right"/>
            </w:pPr>
            <w:r>
              <w:rPr>
                <w:rFonts w:ascii="Arial" w:cs="Arial" w:eastAsia="Arial" w:hAnsi="Arial"/>
                <w:b w:val="false"/>
                <w:bCs w:val="false"/>
                <w:color w:val="1C1C1E"/>
                <w:sz w:val="18"/>
                <w:szCs w:val="18"/>
              </w:rPr>
              <w:t xml:space="preserve">ת.ז. / ח.פ.</w:t>
            </w:r>
          </w:p>
        </w:tc>
      </w:tr>
      <w:tr>
        <w:tc>
          <w:tcPr>
            <w:tcW w:type="dxa" w:w="6265"/>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bidi/>
              <w:spacing w:after="0"/>
              <w:jc w:val="right"/>
            </w:pPr>
            <w:r>
              <w:rPr>
                <w:rFonts w:ascii="Arial" w:cs="Arial" w:eastAsia="Arial" w:hAnsi="Arial"/>
                <w:b w:val="false"/>
                <w:bCs w:val="false"/>
                <w:color w:val="1C1C1E"/>
                <w:sz w:val="18"/>
                <w:szCs w:val="18"/>
              </w:rPr>
              <w:t xml:space="preserve">________________________________________</w:t>
            </w:r>
          </w:p>
        </w:tc>
        <w:tc>
          <w:tcPr>
            <w:tcW w:type="dxa" w:w="3373"/>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bidi/>
              <w:spacing w:after="0"/>
              <w:jc w:val="right"/>
            </w:pPr>
            <w:r>
              <w:rPr>
                <w:rFonts w:ascii="Arial" w:cs="Arial" w:eastAsia="Arial" w:hAnsi="Arial"/>
                <w:b w:val="false"/>
                <w:bCs w:val="false"/>
                <w:color w:val="1C1C1E"/>
                <w:sz w:val="18"/>
                <w:szCs w:val="18"/>
              </w:rPr>
              <w:t xml:space="preserve">כתובת</w:t>
            </w:r>
          </w:p>
        </w:tc>
      </w:tr>
      <w:tr>
        <w:tc>
          <w:tcPr>
            <w:tcW w:type="dxa" w:w="6265"/>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bidi/>
              <w:spacing w:after="0"/>
              <w:jc w:val="right"/>
            </w:pPr>
            <w:r>
              <w:rPr>
                <w:rFonts w:ascii="Arial" w:cs="Arial" w:eastAsia="Arial" w:hAnsi="Arial"/>
                <w:b w:val="false"/>
                <w:bCs w:val="false"/>
                <w:color w:val="1C1C1E"/>
                <w:sz w:val="18"/>
                <w:szCs w:val="18"/>
              </w:rPr>
              <w:t xml:space="preserve">________________________________________</w:t>
            </w:r>
          </w:p>
        </w:tc>
        <w:tc>
          <w:tcPr>
            <w:tcW w:type="dxa" w:w="3373"/>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bidi/>
              <w:spacing w:after="0"/>
              <w:jc w:val="right"/>
            </w:pPr>
            <w:r>
              <w:rPr>
                <w:rFonts w:ascii="Arial" w:cs="Arial" w:eastAsia="Arial" w:hAnsi="Arial"/>
                <w:b w:val="false"/>
                <w:bCs w:val="false"/>
                <w:color w:val="1C1C1E"/>
                <w:sz w:val="18"/>
                <w:szCs w:val="18"/>
              </w:rPr>
              <w:t xml:space="preserve">אימייל</w:t>
            </w:r>
          </w:p>
        </w:tc>
      </w:tr>
      <w:tr>
        <w:tc>
          <w:tcPr>
            <w:tcW w:type="dxa" w:w="6265"/>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bidi/>
              <w:spacing w:after="0"/>
              <w:jc w:val="right"/>
            </w:pPr>
            <w:r>
              <w:rPr>
                <w:rFonts w:ascii="Arial" w:cs="Arial" w:eastAsia="Arial" w:hAnsi="Arial"/>
                <w:b w:val="false"/>
                <w:bCs w:val="false"/>
                <w:color w:val="1C1C1E"/>
                <w:sz w:val="18"/>
                <w:szCs w:val="18"/>
              </w:rPr>
              <w:t xml:space="preserve">משקיע / מפתח / שותף / יועץ / אחר: ________</w:t>
            </w:r>
          </w:p>
        </w:tc>
        <w:tc>
          <w:tcPr>
            <w:tcW w:type="dxa" w:w="3373"/>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bidi/>
              <w:spacing w:after="0"/>
              <w:jc w:val="right"/>
            </w:pPr>
            <w:r>
              <w:rPr>
                <w:rFonts w:ascii="Arial" w:cs="Arial" w:eastAsia="Arial" w:hAnsi="Arial"/>
                <w:b w:val="false"/>
                <w:bCs w:val="false"/>
                <w:color w:val="1C1C1E"/>
                <w:sz w:val="18"/>
                <w:szCs w:val="18"/>
              </w:rPr>
              <w:t xml:space="preserve">קשר ל-HypeShow</w:t>
            </w:r>
          </w:p>
        </w:tc>
      </w:tr>
    </w:tbl>
    <w:p>
      <w:pPr>
        <w:bidi/>
        <w:spacing w:after="80" w:before="200" w:line="276"/>
        <w:jc w:val="right"/>
      </w:pPr>
      <w:r>
        <w:rPr>
          <w:rFonts w:ascii="Arial" w:cs="Arial" w:eastAsia="Arial" w:hAnsi="Arial"/>
          <w:b/>
          <w:bCs/>
          <w:color w:val="2D6A4F"/>
          <w:sz w:val="26"/>
          <w:szCs w:val="26"/>
        </w:rPr>
        <w:t xml:space="preserve">2. הגדרת מידע סודי</w:t>
      </w:r>
    </w:p>
    <w:p>
      <w:pPr>
        <w:bidi/>
        <w:spacing w:after="100" w:before="0" w:line="276"/>
        <w:jc w:val="right"/>
      </w:pPr>
      <w:r>
        <w:rPr>
          <w:rFonts w:ascii="Arial" w:cs="Arial" w:eastAsia="Arial" w:hAnsi="Arial"/>
          <w:b w:val="false"/>
          <w:bCs w:val="false"/>
          <w:color w:val="1C1C1E"/>
          <w:sz w:val="20"/>
          <w:szCs w:val="20"/>
        </w:rPr>
        <w:t xml:space="preserve">"מידע סודי" משמעו כל מידע שאינו ציבורי שנמסר ע"י הצד המגלה, בין בעל-פה, בכתב, או בדיגיטל, לרבות אך לא רק:</w:t>
      </w:r>
    </w:p>
    <w:p>
      <w:pPr>
        <w:bidi/>
        <w:spacing w:after="100" w:before="0" w:line="276"/>
        <w:ind w:right="400"/>
        <w:jc w:val="right"/>
      </w:pPr>
      <w:r>
        <w:rPr>
          <w:rFonts w:ascii="Arial" w:cs="Arial" w:eastAsia="Arial" w:hAnsi="Arial"/>
          <w:b w:val="false"/>
          <w:bCs w:val="false"/>
          <w:color w:val="1C1C1E"/>
          <w:sz w:val="20"/>
          <w:szCs w:val="20"/>
        </w:rPr>
        <w:t xml:space="preserve">- תוכניות עסקיות, אסטרטגיות, מפות דרכים ותחזיות פיננסיות.</w:t>
      </w:r>
    </w:p>
    <w:p>
      <w:pPr>
        <w:bidi/>
        <w:spacing w:after="100" w:before="0" w:line="276"/>
        <w:ind w:right="400"/>
        <w:jc w:val="right"/>
      </w:pPr>
      <w:r>
        <w:rPr>
          <w:rFonts w:ascii="Arial" w:cs="Arial" w:eastAsia="Arial" w:hAnsi="Arial"/>
          <w:b w:val="false"/>
          <w:bCs w:val="false"/>
          <w:color w:val="1C1C1E"/>
          <w:sz w:val="20"/>
          <w:szCs w:val="20"/>
        </w:rPr>
        <w:t xml:space="preserve">- System prompts של ה-AI, אישיות הסוכנים, ואלגוריתמים קנייניים.</w:t>
      </w:r>
    </w:p>
    <w:p>
      <w:pPr>
        <w:bidi/>
        <w:spacing w:after="100" w:before="0" w:line="276"/>
        <w:ind w:right="400"/>
        <w:jc w:val="right"/>
      </w:pPr>
      <w:r>
        <w:rPr>
          <w:rFonts w:ascii="Arial" w:cs="Arial" w:eastAsia="Arial" w:hAnsi="Arial"/>
          <w:b w:val="false"/>
          <w:bCs w:val="false"/>
          <w:color w:val="1C1C1E"/>
          <w:sz w:val="20"/>
          <w:szCs w:val="20"/>
        </w:rPr>
        <w:t xml:space="preserve">- קוד מקור, ארכיטקטורה טכנית, סכמות מסד נתונים, ועיצובי API.</w:t>
      </w:r>
    </w:p>
    <w:p>
      <w:pPr>
        <w:bidi/>
        <w:spacing w:after="100" w:before="0" w:line="276"/>
        <w:ind w:right="400"/>
        <w:jc w:val="right"/>
      </w:pPr>
      <w:r>
        <w:rPr>
          <w:rFonts w:ascii="Arial" w:cs="Arial" w:eastAsia="Arial" w:hAnsi="Arial"/>
          <w:b w:val="false"/>
          <w:bCs w:val="false"/>
          <w:color w:val="1C1C1E"/>
          <w:sz w:val="20"/>
          <w:szCs w:val="20"/>
        </w:rPr>
        <w:t xml:space="preserve">- נתוני משתמשים, סטטיסטיקות שימוש, ומתודולוגיית ה-Seniority Score.</w:t>
      </w:r>
    </w:p>
    <w:p>
      <w:pPr>
        <w:bidi/>
        <w:spacing w:after="100" w:before="0" w:line="276"/>
        <w:ind w:right="400"/>
        <w:jc w:val="right"/>
      </w:pPr>
      <w:r>
        <w:rPr>
          <w:rFonts w:ascii="Arial" w:cs="Arial" w:eastAsia="Arial" w:hAnsi="Arial"/>
          <w:b w:val="false"/>
          <w:bCs w:val="false"/>
          <w:color w:val="1C1C1E"/>
          <w:sz w:val="20"/>
          <w:szCs w:val="20"/>
        </w:rPr>
        <w:t xml:space="preserve">- מודלי תמחור, תנאי משקיעים, והסכמים מסחריים.</w:t>
      </w:r>
    </w:p>
    <w:p>
      <w:pPr>
        <w:bidi/>
        <w:spacing w:after="100" w:before="0" w:line="276"/>
        <w:ind w:right="400"/>
        <w:jc w:val="right"/>
      </w:pPr>
      <w:r>
        <w:rPr>
          <w:rFonts w:ascii="Arial" w:cs="Arial" w:eastAsia="Arial" w:hAnsi="Arial"/>
          <w:b w:val="false"/>
          <w:bCs w:val="false"/>
          <w:color w:val="1C1C1E"/>
          <w:sz w:val="20"/>
          <w:szCs w:val="20"/>
        </w:rPr>
        <w:t xml:space="preserve">- כל מידע המסומן "סודי" או שאדם סביר היה מבין כי הוא סודי.</w:t>
      </w:r>
    </w:p>
    <w:p>
      <w:pPr>
        <w:bidi/>
        <w:spacing w:after="80" w:before="200" w:line="276"/>
        <w:jc w:val="right"/>
      </w:pPr>
      <w:r>
        <w:rPr>
          <w:rFonts w:ascii="Arial" w:cs="Arial" w:eastAsia="Arial" w:hAnsi="Arial"/>
          <w:b/>
          <w:bCs/>
          <w:color w:val="2D6A4F"/>
          <w:sz w:val="26"/>
          <w:szCs w:val="26"/>
        </w:rPr>
        <w:t xml:space="preserve">3. התחייבויות הצד המקבל</w:t>
      </w:r>
    </w:p>
    <w:p>
      <w:pPr>
        <w:bidi/>
        <w:spacing w:after="100" w:before="0" w:line="276"/>
        <w:jc w:val="right"/>
      </w:pPr>
      <w:r>
        <w:rPr>
          <w:rFonts w:ascii="Arial" w:cs="Arial" w:eastAsia="Arial" w:hAnsi="Arial"/>
          <w:b w:val="false"/>
          <w:bCs w:val="false"/>
          <w:color w:val="1C1C1E"/>
          <w:sz w:val="20"/>
          <w:szCs w:val="20"/>
        </w:rPr>
        <w:t xml:space="preserve">הצד המקבל מסכים:</w:t>
      </w:r>
    </w:p>
    <w:p>
      <w:pPr>
        <w:bidi/>
        <w:spacing w:after="100" w:before="0" w:line="276"/>
        <w:ind w:right="400"/>
        <w:jc w:val="right"/>
      </w:pPr>
      <w:r>
        <w:rPr>
          <w:rFonts w:ascii="Arial" w:cs="Arial" w:eastAsia="Arial" w:hAnsi="Arial"/>
          <w:b w:val="false"/>
          <w:bCs w:val="false"/>
          <w:color w:val="1C1C1E"/>
          <w:sz w:val="20"/>
          <w:szCs w:val="20"/>
        </w:rPr>
        <w:t xml:space="preserve">- לשמור את כל המידע הסודי בסודיות מלאה.</w:t>
      </w:r>
    </w:p>
    <w:p>
      <w:pPr>
        <w:bidi/>
        <w:spacing w:after="100" w:before="0" w:line="276"/>
        <w:ind w:right="400"/>
        <w:jc w:val="right"/>
      </w:pPr>
      <w:r>
        <w:rPr>
          <w:rFonts w:ascii="Arial" w:cs="Arial" w:eastAsia="Arial" w:hAnsi="Arial"/>
          <w:b w:val="false"/>
          <w:bCs w:val="false"/>
          <w:color w:val="1C1C1E"/>
          <w:sz w:val="20"/>
          <w:szCs w:val="20"/>
        </w:rPr>
        <w:t xml:space="preserve">- להשתמש במידע הסודי אך ורק לצורך הערכת הקשר העסקי או ביצועו.</w:t>
      </w:r>
    </w:p>
    <w:p>
      <w:pPr>
        <w:bidi/>
        <w:spacing w:after="100" w:before="0" w:line="276"/>
        <w:ind w:right="400"/>
        <w:jc w:val="right"/>
      </w:pPr>
      <w:r>
        <w:rPr>
          <w:rFonts w:ascii="Arial" w:cs="Arial" w:eastAsia="Arial" w:hAnsi="Arial"/>
          <w:b w:val="false"/>
          <w:bCs w:val="false"/>
          <w:color w:val="1C1C1E"/>
          <w:sz w:val="20"/>
          <w:szCs w:val="20"/>
        </w:rPr>
        <w:t xml:space="preserve">- לא לגלות מידע סודי לכל צד שלישי ללא הסכמה מראש ובכתב.</w:t>
      </w:r>
    </w:p>
    <w:p>
      <w:pPr>
        <w:bidi/>
        <w:spacing w:after="100" w:before="0" w:line="276"/>
        <w:ind w:right="400"/>
        <w:jc w:val="right"/>
      </w:pPr>
      <w:r>
        <w:rPr>
          <w:rFonts w:ascii="Arial" w:cs="Arial" w:eastAsia="Arial" w:hAnsi="Arial"/>
          <w:b w:val="false"/>
          <w:bCs w:val="false"/>
          <w:color w:val="1C1C1E"/>
          <w:sz w:val="20"/>
          <w:szCs w:val="20"/>
        </w:rPr>
        <w:t xml:space="preserve">- להגן על המידע הסודי ברמת זהירות לא פחות ממה שהוא נוהג לגבי המידע הסודי שלו עצמו.</w:t>
      </w:r>
    </w:p>
    <w:p>
      <w:pPr>
        <w:bidi/>
        <w:spacing w:after="100" w:before="0" w:line="276"/>
        <w:ind w:right="400"/>
        <w:jc w:val="right"/>
      </w:pPr>
      <w:r>
        <w:rPr>
          <w:rFonts w:ascii="Arial" w:cs="Arial" w:eastAsia="Arial" w:hAnsi="Arial"/>
          <w:b w:val="false"/>
          <w:bCs w:val="false"/>
          <w:color w:val="1C1C1E"/>
          <w:sz w:val="20"/>
          <w:szCs w:val="20"/>
        </w:rPr>
        <w:t xml:space="preserve">- להודיע לצד המגלה מיידית על כל גילוי בלתי מורשה או הפרה.</w:t>
      </w:r>
    </w:p>
    <w:p>
      <w:pPr>
        <w:bidi/>
        <w:spacing w:after="80" w:before="200" w:line="276"/>
        <w:jc w:val="right"/>
      </w:pPr>
      <w:r>
        <w:rPr>
          <w:rFonts w:ascii="Arial" w:cs="Arial" w:eastAsia="Arial" w:hAnsi="Arial"/>
          <w:b/>
          <w:bCs/>
          <w:color w:val="2D6A4F"/>
          <w:sz w:val="26"/>
          <w:szCs w:val="26"/>
        </w:rPr>
        <w:t xml:space="preserve">4. חריגים</w:t>
      </w:r>
    </w:p>
    <w:p>
      <w:pPr>
        <w:bidi/>
        <w:spacing w:after="100" w:before="0" w:line="276"/>
        <w:jc w:val="right"/>
      </w:pPr>
      <w:r>
        <w:rPr>
          <w:rFonts w:ascii="Arial" w:cs="Arial" w:eastAsia="Arial" w:hAnsi="Arial"/>
          <w:b w:val="false"/>
          <w:bCs w:val="false"/>
          <w:color w:val="1C1C1E"/>
          <w:sz w:val="20"/>
          <w:szCs w:val="20"/>
        </w:rPr>
        <w:t xml:space="preserve">הסכם זה אינו חל על מידע:</w:t>
      </w:r>
    </w:p>
    <w:p>
      <w:pPr>
        <w:bidi/>
        <w:spacing w:after="100" w:before="0" w:line="276"/>
        <w:ind w:right="400"/>
        <w:jc w:val="right"/>
      </w:pPr>
      <w:r>
        <w:rPr>
          <w:rFonts w:ascii="Arial" w:cs="Arial" w:eastAsia="Arial" w:hAnsi="Arial"/>
          <w:b w:val="false"/>
          <w:bCs w:val="false"/>
          <w:color w:val="1C1C1E"/>
          <w:sz w:val="20"/>
          <w:szCs w:val="20"/>
        </w:rPr>
        <w:t xml:space="preserve">- שהיה או הפך לנחלת הכלל ללא אשמת הצד המקבל.</w:t>
      </w:r>
    </w:p>
    <w:p>
      <w:pPr>
        <w:bidi/>
        <w:spacing w:after="100" w:before="0" w:line="276"/>
        <w:ind w:right="400"/>
        <w:jc w:val="right"/>
      </w:pPr>
      <w:r>
        <w:rPr>
          <w:rFonts w:ascii="Arial" w:cs="Arial" w:eastAsia="Arial" w:hAnsi="Arial"/>
          <w:b w:val="false"/>
          <w:bCs w:val="false"/>
          <w:color w:val="1C1C1E"/>
          <w:sz w:val="20"/>
          <w:szCs w:val="20"/>
        </w:rPr>
        <w:t xml:space="preserve">- שהיה ידוע לצד המקבל לפני הגילוי.</w:t>
      </w:r>
    </w:p>
    <w:p>
      <w:pPr>
        <w:bidi/>
        <w:spacing w:after="100" w:before="0" w:line="276"/>
        <w:ind w:right="400"/>
        <w:jc w:val="right"/>
      </w:pPr>
      <w:r>
        <w:rPr>
          <w:rFonts w:ascii="Arial" w:cs="Arial" w:eastAsia="Arial" w:hAnsi="Arial"/>
          <w:b w:val="false"/>
          <w:bCs w:val="false"/>
          <w:color w:val="1C1C1E"/>
          <w:sz w:val="20"/>
          <w:szCs w:val="20"/>
        </w:rPr>
        <w:t xml:space="preserve">- שפותח באופן עצמאי ע"י הצד המקבל ללא שימוש במידע הסודי.</w:t>
      </w:r>
    </w:p>
    <w:p>
      <w:pPr>
        <w:bidi/>
        <w:spacing w:after="100" w:before="0" w:line="276"/>
        <w:ind w:right="400"/>
        <w:jc w:val="right"/>
      </w:pPr>
      <w:r>
        <w:rPr>
          <w:rFonts w:ascii="Arial" w:cs="Arial" w:eastAsia="Arial" w:hAnsi="Arial"/>
          <w:b w:val="false"/>
          <w:bCs w:val="false"/>
          <w:color w:val="1C1C1E"/>
          <w:sz w:val="20"/>
          <w:szCs w:val="20"/>
        </w:rPr>
        <w:t xml:space="preserve">- שנדרש לגילוי לפי חוק או צו בית משפט (תוך הודעה מיידית בכתב לצד המגלה).</w:t>
      </w:r>
    </w:p>
    <w:p>
      <w:pPr>
        <w:bidi/>
        <w:spacing w:after="80" w:before="200" w:line="276"/>
        <w:jc w:val="right"/>
      </w:pPr>
      <w:r>
        <w:rPr>
          <w:rFonts w:ascii="Arial" w:cs="Arial" w:eastAsia="Arial" w:hAnsi="Arial"/>
          <w:b/>
          <w:bCs/>
          <w:color w:val="2D6A4F"/>
          <w:sz w:val="26"/>
          <w:szCs w:val="26"/>
        </w:rPr>
        <w:t xml:space="preserve">5. תקופה</w:t>
      </w:r>
    </w:p>
    <w:p>
      <w:pPr>
        <w:bidi/>
        <w:spacing w:after="100" w:before="0" w:line="276"/>
        <w:jc w:val="right"/>
      </w:pPr>
      <w:r>
        <w:rPr>
          <w:rFonts w:ascii="Arial" w:cs="Arial" w:eastAsia="Arial" w:hAnsi="Arial"/>
          <w:b w:val="false"/>
          <w:bCs w:val="false"/>
          <w:color w:val="1C1C1E"/>
          <w:sz w:val="20"/>
          <w:szCs w:val="20"/>
        </w:rPr>
        <w:t xml:space="preserve">הסכם זה נכנס לתוקף ממועד החתימה ונשאר בתוקף למשך 3 שנים. התחייבויות הסודיות שורדות את סיום הקשר העסקי הנלווה.</w:t>
      </w:r>
    </w:p>
    <w:p>
      <w:pPr>
        <w:bidi/>
        <w:spacing w:after="80" w:before="200" w:line="276"/>
        <w:jc w:val="right"/>
      </w:pPr>
      <w:r>
        <w:rPr>
          <w:rFonts w:ascii="Arial" w:cs="Arial" w:eastAsia="Arial" w:hAnsi="Arial"/>
          <w:b/>
          <w:bCs/>
          <w:color w:val="2D6A4F"/>
          <w:sz w:val="26"/>
          <w:szCs w:val="26"/>
        </w:rPr>
        <w:t xml:space="preserve">6. החזרה או השמדת מידע</w:t>
      </w:r>
    </w:p>
    <w:p>
      <w:pPr>
        <w:bidi/>
        <w:spacing w:after="100" w:before="0" w:line="276"/>
        <w:jc w:val="right"/>
      </w:pPr>
      <w:r>
        <w:rPr>
          <w:rFonts w:ascii="Arial" w:cs="Arial" w:eastAsia="Arial" w:hAnsi="Arial"/>
          <w:b w:val="false"/>
          <w:bCs w:val="false"/>
          <w:color w:val="1C1C1E"/>
          <w:sz w:val="20"/>
          <w:szCs w:val="20"/>
        </w:rPr>
        <w:t xml:space="preserve">לפי בקשה או עם סיום הקשר העסקי, הצד המקבל יחזיר או ישמיד לאלתר את כל המידע הסודי ויאשר את ההשמדה בכתב.</w:t>
      </w:r>
    </w:p>
    <w:p>
      <w:pPr>
        <w:bidi/>
        <w:spacing w:after="80" w:before="200" w:line="276"/>
        <w:jc w:val="right"/>
      </w:pPr>
      <w:r>
        <w:rPr>
          <w:rFonts w:ascii="Arial" w:cs="Arial" w:eastAsia="Arial" w:hAnsi="Arial"/>
          <w:b/>
          <w:bCs/>
          <w:color w:val="2D6A4F"/>
          <w:sz w:val="26"/>
          <w:szCs w:val="26"/>
        </w:rPr>
        <w:t xml:space="preserve">7. סעדים</w:t>
      </w:r>
    </w:p>
    <w:p>
      <w:pPr>
        <w:bidi/>
        <w:spacing w:after="100" w:before="0" w:line="276"/>
        <w:jc w:val="right"/>
      </w:pPr>
      <w:r>
        <w:rPr>
          <w:rFonts w:ascii="Arial" w:cs="Arial" w:eastAsia="Arial" w:hAnsi="Arial"/>
          <w:b w:val="false"/>
          <w:bCs w:val="false"/>
          <w:color w:val="1C1C1E"/>
          <w:sz w:val="20"/>
          <w:szCs w:val="20"/>
        </w:rPr>
        <w:t xml:space="preserve">הצד המקבל מאשר כי הפרת הסכם זה תגרום נזק בלתי הפיך שפיצוי כספי לא יהיה מספיק לתקנו. הצד המגלה יהיה זכאי לצו מניעה וכל סעד אחר הזמין בחוק.</w:t>
      </w:r>
    </w:p>
    <w:p>
      <w:pPr>
        <w:bidi/>
        <w:spacing w:after="80" w:before="200" w:line="276"/>
        <w:jc w:val="right"/>
      </w:pPr>
      <w:r>
        <w:rPr>
          <w:rFonts w:ascii="Arial" w:cs="Arial" w:eastAsia="Arial" w:hAnsi="Arial"/>
          <w:b/>
          <w:bCs/>
          <w:color w:val="2D6A4F"/>
          <w:sz w:val="26"/>
          <w:szCs w:val="26"/>
        </w:rPr>
        <w:t xml:space="preserve">8. דין חל וסמכות שיפוט</w:t>
      </w:r>
    </w:p>
    <w:p>
      <w:pPr>
        <w:bidi/>
        <w:spacing w:after="100" w:before="0" w:line="276"/>
        <w:jc w:val="right"/>
      </w:pPr>
      <w:r>
        <w:rPr>
          <w:rFonts w:ascii="Arial" w:cs="Arial" w:eastAsia="Arial" w:hAnsi="Arial"/>
          <w:b w:val="false"/>
          <w:bCs w:val="false"/>
          <w:color w:val="1C1C1E"/>
          <w:sz w:val="20"/>
          <w:szCs w:val="20"/>
        </w:rPr>
        <w:t xml:space="preserve">הסכם זה כפוף לדין הישראלי. כל סכסוך יוגש באופן בלעדי לבתי המשפט המוסמכים בתל אביב, ישראל.</w:t>
      </w:r>
    </w:p>
    <w:p>
      <w:pPr>
        <w:spacing w:after="0" w:before="0"/>
      </w:pPr>
      <w:r>
        <w:rPr>
          <w:rFonts w:ascii="Arial" w:cs="Arial" w:eastAsia="Arial" w:hAnsi="Arial"/>
          <w:b w:val="false"/>
          <w:bCs w:val="false"/>
          <w:color w:val="1C1C1E"/>
          <w:sz w:val="20"/>
          <w:szCs w:val="20"/>
        </w:rPr>
        <w:t xml:space="preserve"/>
      </w:r>
    </w:p>
    <w:p>
      <w:pPr>
        <w:pBdr>
          <w:bottom w:val="single" w:color="CCCCCC" w:sz="4" w:space="1"/>
        </w:pBdr>
        <w:bidi/>
        <w:spacing w:after="60" w:before="60"/>
        <w:jc w:val="right"/>
      </w:pPr>
      <w:r>
        <w:rPr>
          <w:rFonts w:ascii="Arial" w:cs="Arial" w:eastAsia="Arial" w:hAnsi="Arial"/>
          <w:b w:val="false"/>
          <w:bCs w:val="false"/>
          <w:color w:val="1C1C1E"/>
          <w:sz w:val="20"/>
          <w:szCs w:val="20"/>
        </w:rPr>
        <w:t xml:space="preserve"> </w:t>
      </w:r>
    </w:p>
    <w:p>
      <w:pPr>
        <w:bidi/>
        <w:spacing w:after="100" w:before="0" w:line="276"/>
        <w:jc w:val="right"/>
      </w:pPr>
      <w:r>
        <w:rPr>
          <w:rFonts w:ascii="Arial" w:cs="Arial" w:eastAsia="Arial" w:hAnsi="Arial"/>
          <w:b/>
          <w:bCs/>
          <w:color w:val="1C1C1E"/>
          <w:sz w:val="22"/>
          <w:szCs w:val="22"/>
        </w:rPr>
        <w:t xml:space="preserve">חתימות</w:t>
      </w:r>
    </w:p>
    <w:p>
      <w:pPr>
        <w:spacing w:after="0" w:before="0"/>
      </w:pPr>
      <w:r>
        <w:rPr>
          <w:rFonts w:ascii="Arial" w:cs="Arial" w:eastAsia="Arial" w:hAnsi="Arial"/>
          <w:b w:val="false"/>
          <w:bCs w:val="false"/>
          <w:color w:val="1C1C1E"/>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19"/>
        <w:gridCol w:w="400"/>
        <w:gridCol w:w="4619"/>
      </w:tblGrid>
      <w:tr>
        <w:tc>
          <w:tcPr>
            <w:tcW w:type="dxa" w:w="4619"/>
            <w:tcBorders>
              <w:top w:val="none"/>
              <w:left w:val="none"/>
              <w:bottom w:val="none"/>
              <w:right w:val="none"/>
            </w:tcBorders>
          </w:tcPr>
          <w:p>
            <w:pPr>
              <w:pBdr>
                <w:bottom w:val="single" w:color="1C1C1E" w:sz="4" w:space="1"/>
              </w:pBdr>
              <w:bidi/>
              <w:spacing w:after="30"/>
              <w:jc w:val="right"/>
            </w:pPr>
            <w:r>
              <w:rPr>
                <w:rFonts w:ascii="Arial" w:cs="Arial" w:eastAsia="Arial" w:hAnsi="Arial"/>
                <w:b w:val="false"/>
                <w:bCs w:val="false"/>
                <w:color w:val="1C1C1E"/>
                <w:sz w:val="20"/>
                <w:szCs w:val="20"/>
              </w:rPr>
              <w:t xml:space="preserve">          </w:t>
            </w:r>
          </w:p>
          <w:p>
            <w:pPr>
              <w:bidi/>
              <w:spacing w:after="0" w:before="0" w:line="276"/>
              <w:jc w:val="right"/>
            </w:pPr>
            <w:r>
              <w:rPr>
                <w:rFonts w:ascii="Arial" w:cs="Arial" w:eastAsia="Arial" w:hAnsi="Arial"/>
                <w:b w:val="false"/>
                <w:bCs w:val="false"/>
                <w:color w:val="6E6E73"/>
                <w:sz w:val="17"/>
                <w:szCs w:val="17"/>
              </w:rPr>
              <w:t xml:space="preserve">הצד המגלה - תאריך</w:t>
            </w:r>
          </w:p>
        </w:tc>
        <w:tc>
          <w:tcPr>
            <w:tcW w:type="dxa" w:w="400"/>
            <w:tcBorders>
              <w:top w:val="none"/>
              <w:left w:val="none"/>
              <w:bottom w:val="none"/>
              <w:right w:val="none"/>
            </w:tcBorders>
          </w:tcPr>
          <w:p>
            <w:pPr>
              <w:spacing w:after="0" w:before="0"/>
            </w:pPr>
            <w:r>
              <w:rPr>
                <w:rFonts w:ascii="Arial" w:cs="Arial" w:eastAsia="Arial" w:hAnsi="Arial"/>
                <w:b w:val="false"/>
                <w:bCs w:val="false"/>
                <w:color w:val="1C1C1E"/>
                <w:sz w:val="20"/>
                <w:szCs w:val="20"/>
              </w:rPr>
              <w:t xml:space="preserve"/>
            </w:r>
          </w:p>
        </w:tc>
        <w:tc>
          <w:tcPr>
            <w:tcW w:type="dxa" w:w="4619"/>
            <w:tcBorders>
              <w:top w:val="none"/>
              <w:left w:val="none"/>
              <w:bottom w:val="none"/>
              <w:right w:val="none"/>
            </w:tcBorders>
          </w:tcPr>
          <w:p>
            <w:pPr>
              <w:pBdr>
                <w:bottom w:val="single" w:color="1C1C1E" w:sz="4" w:space="1"/>
              </w:pBdr>
              <w:bidi/>
              <w:spacing w:after="30"/>
              <w:jc w:val="right"/>
            </w:pPr>
            <w:r>
              <w:rPr>
                <w:rFonts w:ascii="Arial" w:cs="Arial" w:eastAsia="Arial" w:hAnsi="Arial"/>
                <w:b w:val="false"/>
                <w:bCs w:val="false"/>
                <w:color w:val="1C1C1E"/>
                <w:sz w:val="20"/>
                <w:szCs w:val="20"/>
              </w:rPr>
              <w:t xml:space="preserve">          </w:t>
            </w:r>
          </w:p>
          <w:p>
            <w:pPr>
              <w:bidi/>
              <w:spacing w:after="0" w:before="0" w:line="276"/>
              <w:jc w:val="right"/>
            </w:pPr>
            <w:r>
              <w:rPr>
                <w:rFonts w:ascii="Arial" w:cs="Arial" w:eastAsia="Arial" w:hAnsi="Arial"/>
                <w:b w:val="false"/>
                <w:bCs w:val="false"/>
                <w:color w:val="6E6E73"/>
                <w:sz w:val="17"/>
                <w:szCs w:val="17"/>
              </w:rPr>
              <w:t xml:space="preserve">הצד המקבל - תאריך</w:t>
            </w:r>
          </w:p>
        </w:tc>
      </w:tr>
    </w:tbl>
    <w:p>
      <w:pPr>
        <w:spacing w:after="0" w:before="0"/>
      </w:pPr>
      <w:r>
        <w:rPr>
          <w:rFonts w:ascii="Arial" w:cs="Arial" w:eastAsia="Arial" w:hAnsi="Arial"/>
          <w:b w:val="false"/>
          <w:bCs w:val="false"/>
          <w:color w:val="1C1C1E"/>
          <w:sz w:val="20"/>
          <w:szCs w:val="20"/>
        </w:rPr>
        <w:t xml:space="preserve"/>
      </w:r>
    </w:p>
    <w:p>
      <w:pPr>
        <w:pBdr>
          <w:bottom w:val="single" w:color="CCCCCC" w:sz="4" w:space="1"/>
        </w:pBdr>
        <w:bidi/>
        <w:spacing w:after="60" w:before="60"/>
        <w:jc w:val="right"/>
      </w:pPr>
      <w:r>
        <w:rPr>
          <w:rFonts w:ascii="Arial" w:cs="Arial" w:eastAsia="Arial" w:hAnsi="Arial"/>
          <w:b w:val="false"/>
          <w:bCs w:val="false"/>
          <w:color w:val="1C1C1E"/>
          <w:sz w:val="20"/>
          <w:szCs w:val="20"/>
        </w:rPr>
        <w:t xml:space="preserve"> </w:t>
      </w:r>
    </w:p>
    <w:p>
      <w:pPr>
        <w:spacing w:after="0" w:before="0"/>
      </w:pPr>
      <w:r>
        <w:rPr>
          <w:rFonts w:ascii="Arial" w:cs="Arial" w:eastAsia="Arial" w:hAnsi="Arial"/>
          <w:b w:val="false"/>
          <w:bCs w:val="false"/>
          <w:color w:val="1C1C1E"/>
          <w:sz w:val="20"/>
          <w:szCs w:val="20"/>
        </w:rPr>
        <w:t xml:space="preserve"/>
      </w:r>
    </w:p>
    <w:p>
      <w:pPr>
        <w:bidi/>
        <w:spacing w:after="100" w:before="0" w:line="276"/>
        <w:jc w:val="right"/>
      </w:pPr>
      <w:r>
        <w:rPr>
          <w:rFonts w:ascii="Arial" w:cs="Arial" w:eastAsia="Arial" w:hAnsi="Arial"/>
          <w:b w:val="false"/>
          <w:bCs w:val="false"/>
          <w:color w:val="6E6E73"/>
          <w:sz w:val="17"/>
          <w:szCs w:val="17"/>
        </w:rPr>
        <w:t xml:space="preserve">מסמך זה נכתב ע"י תמר כהן-לוי, יועצת משפטית | הסכם סודיות v1.0 | אפריל 2026</w:t>
      </w:r>
    </w:p>
    <w:p>
      <w:pPr>
        <w:bidi/>
        <w:spacing w:after="100" w:before="0" w:line="276"/>
        <w:jc w:val="right"/>
      </w:pPr>
      <w:r>
        <w:rPr>
          <w:rFonts w:ascii="Arial" w:cs="Arial" w:eastAsia="Arial" w:hAnsi="Arial"/>
          <w:b w:val="false"/>
          <w:bCs w:val="false"/>
          <w:color w:val="7A4500"/>
          <w:sz w:val="17"/>
          <w:szCs w:val="17"/>
        </w:rPr>
        <w:t xml:space="preserve">מסמך זה הוא טיוטה לצורכי HypeShow ואינו מהווה ייעוץ משפטי מחייב. מומלץ לאמת עם עורך דין מורשה לפני חתימה.</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2026-04-10T07:58:37.160Z</dcterms:created>
  <dcterms:modified xsi:type="dcterms:W3CDTF">2026-04-10T07:58:37.160Z</dcterms:modified>
</cp:coreProperties>
</file>

<file path=docProps/custom.xml><?xml version="1.0" encoding="utf-8"?>
<Properties xmlns="http://schemas.openxmlformats.org/officeDocument/2006/custom-properties" xmlns:vt="http://schemas.openxmlformats.org/officeDocument/2006/docPropsVTypes"/>
</file>