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60" w:before="60"/>
        <w:jc w:val="left"/>
      </w:pPr>
      <w:r>
        <w:rPr>
          <w:rFonts w:ascii="Arial" w:cs="Arial" w:eastAsia="Arial" w:hAnsi="Arial"/>
          <w:b/>
          <w:bCs/>
          <w:color w:val="999999"/>
          <w:sz w:val="22"/>
          <w:szCs w:val="22"/>
        </w:rPr>
        <w:t xml:space="preserve">— ENGLISH VERSION —</w:t>
      </w:r>
    </w:p>
    <w:p>
      <w:pPr>
        <w:bidi w:val="false"/>
        <w:spacing w:after="60" w:before="0"/>
        <w:jc w:val="left"/>
      </w:pPr>
      <w:r>
        <w:rPr>
          <w:rFonts w:ascii="Arial" w:cs="Arial" w:eastAsia="Arial" w:hAnsi="Arial"/>
          <w:b/>
          <w:bCs/>
          <w:color w:val="1C1C1E"/>
          <w:sz w:val="40"/>
          <w:szCs w:val="40"/>
        </w:rPr>
        <w:t xml:space="preserve">Privacy Policy</w:t>
      </w:r>
    </w:p>
    <w:p>
      <w:pPr>
        <w:bidi w:val="false"/>
        <w:spacing w:after="160"/>
        <w:jc w:val="left"/>
      </w:pPr>
      <w:r>
        <w:rPr>
          <w:rFonts w:ascii="Arial" w:cs="Arial" w:eastAsia="Arial" w:hAnsi="Arial"/>
          <w:b w:val="false"/>
          <w:bCs w:val="false"/>
          <w:color w:val="6E6E73"/>
          <w:sz w:val="20"/>
          <w:szCs w:val="20"/>
        </w:rPr>
        <w:t xml:space="preserve">HypeShow | Nadav Dafni Internet &amp; Software Ltd., Co. No. 515039303 | Version 1.5 | April 2026</w:t>
      </w:r>
    </w:p>
    <w:p>
      <w:pPr>
        <w:pBdr>
          <w:bottom w:val="single" w:color="2D6A4F" w:sz="16" w:space="1"/>
        </w:pBdr>
        <w:bidi w:val="false"/>
        <w:spacing w:after="40" w:before="40"/>
        <w:jc w:val="left"/>
      </w:pPr>
      <w:r>
        <w:rPr>
          <w:rFonts w:ascii="Arial" w:cs="Arial" w:eastAsia="Arial" w:hAnsi="Arial"/>
          <w:b w:val="false"/>
          <w:bCs w:val="false"/>
          <w:color w:val="1C1C1E"/>
          <w:sz w:val="20"/>
          <w:szCs w:val="20"/>
        </w:rPr>
        <w:t xml:space="preserve"> </w:t>
      </w:r>
    </w:p>
    <w:p>
      <w:pPr>
        <w:spacing w:after="0" w:before="0"/>
      </w:pPr>
      <w:r>
        <w:rPr>
          <w:rFonts w:ascii="Arial" w:cs="Arial" w:eastAsia="Arial" w:hAnsi="Arial"/>
          <w:b w:val="false"/>
          <w:bCs w:val="false"/>
          <w:color w:val="1C1C1E"/>
          <w:sz w:val="20"/>
          <w:szCs w:val="20"/>
        </w:rPr>
        <w:t xml:space="preserve"/>
      </w:r>
    </w:p>
    <w:p>
      <w:pPr>
        <w:bidi w:val="false"/>
        <w:spacing w:after="100" w:before="0" w:line="276"/>
        <w:jc w:val="left"/>
      </w:pPr>
      <w:r>
        <w:rPr>
          <w:rFonts w:ascii="Arial" w:cs="Arial" w:eastAsia="Arial" w:hAnsi="Arial"/>
          <w:b w:val="false"/>
          <w:bCs w:val="false"/>
          <w:color w:val="1C1C1E"/>
          <w:sz w:val="20"/>
          <w:szCs w:val="20"/>
        </w:rPr>
        <w:t xml:space="preserve">At HypeShow, we believe privacy is a right, not a feature. This document explains in plain language what we collect, why, and what we do with it. We are committed to the Israeli Privacy Protection Law (5741-1981), the European GDPR, and the US COPPA.</w:t>
      </w:r>
    </w:p>
    <w:p>
      <w:pPr>
        <w:spacing w:after="0" w:before="0"/>
      </w:pPr>
      <w:r>
        <w:rPr>
          <w:rFonts w:ascii="Arial" w:cs="Arial" w:eastAsia="Arial" w:hAnsi="Arial"/>
          <w:b w:val="false"/>
          <w:bCs w:val="false"/>
          <w:color w:val="1C1C1E"/>
          <w:sz w:val="20"/>
          <w:szCs w:val="20"/>
        </w:rPr>
        <w:t xml:space="preserve"/>
      </w:r>
    </w:p>
    <w:p>
      <w:pPr>
        <w:bidi w:val="false"/>
        <w:spacing w:after="80" w:before="200" w:line="276"/>
        <w:jc w:val="left"/>
      </w:pPr>
      <w:r>
        <w:rPr>
          <w:rFonts w:ascii="Arial" w:cs="Arial" w:eastAsia="Arial" w:hAnsi="Arial"/>
          <w:b/>
          <w:bCs/>
          <w:color w:val="2D6A4F"/>
          <w:sz w:val="26"/>
          <w:szCs w:val="26"/>
        </w:rPr>
        <w:t xml:space="preserve">1. Who We Are</w:t>
      </w:r>
    </w:p>
    <w:p>
      <w:pPr>
        <w:bidi w:val="false"/>
        <w:spacing w:after="100" w:before="0" w:line="276"/>
        <w:jc w:val="left"/>
      </w:pPr>
      <w:r>
        <w:rPr>
          <w:rFonts w:ascii="Arial" w:cs="Arial" w:eastAsia="Arial" w:hAnsi="Arial"/>
          <w:b w:val="false"/>
          <w:bCs w:val="false"/>
          <w:color w:val="1C1C1E"/>
          <w:sz w:val="20"/>
          <w:szCs w:val="20"/>
        </w:rPr>
        <w:t xml:space="preserve">HypeShow is a SaaS platform providing founders with an AI-powered virtual executive team. The operating company is Nadav Dafni Internet &amp; Software Ltd., Co. No. 515039303. Privacy questions: privacy@hypeshow.com</w:t>
      </w:r>
    </w:p>
    <w:p>
      <w:pPr>
        <w:bidi w:val="false"/>
        <w:spacing w:after="80" w:before="200" w:line="276"/>
        <w:jc w:val="left"/>
      </w:pPr>
      <w:r>
        <w:rPr>
          <w:rFonts w:ascii="Arial" w:cs="Arial" w:eastAsia="Arial" w:hAnsi="Arial"/>
          <w:b/>
          <w:bCs/>
          <w:color w:val="2D6A4F"/>
          <w:sz w:val="26"/>
          <w:szCs w:val="26"/>
        </w:rPr>
        <w:t xml:space="preserve">2. Minimum Age</w:t>
      </w:r>
    </w:p>
    <w:p>
      <w:pPr>
        <w:bidi w:val="false"/>
        <w:spacing w:after="100" w:before="0" w:line="276"/>
        <w:jc w:val="left"/>
      </w:pPr>
      <w:r>
        <w:rPr>
          <w:rFonts w:ascii="Arial" w:cs="Arial" w:eastAsia="Arial" w:hAnsi="Arial"/>
          <w:b w:val="false"/>
          <w:bCs w:val="false"/>
          <w:color w:val="1C1C1E"/>
          <w:sz w:val="20"/>
          <w:szCs w:val="20"/>
        </w:rPr>
        <w:t xml:space="preserve">The service is intended for users aged 16 and over. We do not knowingly collect information from children under 16. If you discover that a child has provided us with information, please contact us and we will delete it immediately.</w:t>
      </w:r>
    </w:p>
    <w:p>
      <w:pPr>
        <w:bidi w:val="false"/>
        <w:spacing w:after="100" w:before="0" w:line="276"/>
        <w:jc w:val="left"/>
      </w:pPr>
      <w:r>
        <w:rPr>
          <w:rFonts w:ascii="Arial" w:cs="Arial" w:eastAsia="Arial" w:hAnsi="Arial"/>
          <w:b w:val="false"/>
          <w:bCs w:val="false"/>
          <w:color w:val="6E6E73"/>
          <w:sz w:val="18"/>
          <w:szCs w:val="18"/>
        </w:rPr>
        <w:t xml:space="preserve">Note: US COPPA sets a minimum age of 13. Our policy is stricter and sets 16 as the minimum age for all users in all countries.</w:t>
      </w:r>
    </w:p>
    <w:p>
      <w:pPr>
        <w:bidi w:val="false"/>
        <w:spacing w:after="80" w:before="200" w:line="276"/>
        <w:jc w:val="left"/>
      </w:pPr>
      <w:r>
        <w:rPr>
          <w:rFonts w:ascii="Arial" w:cs="Arial" w:eastAsia="Arial" w:hAnsi="Arial"/>
          <w:b/>
          <w:bCs/>
          <w:color w:val="2D6A4F"/>
          <w:sz w:val="26"/>
          <w:szCs w:val="26"/>
        </w:rPr>
        <w:t xml:space="preserve">3. What We Collect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410"/>
        <w:gridCol w:w="4530"/>
      </w:tblGrid>
      <w:tr>
        <w:tc>
          <w:tcPr>
            <w:tcW w:type="dxa" w:w="2699"/>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val="false"/>
              <w:spacing w:after="0"/>
              <w:jc w:val="left"/>
            </w:pPr>
            <w:r>
              <w:rPr>
                <w:rFonts w:ascii="Arial" w:cs="Arial" w:eastAsia="Arial" w:hAnsi="Arial"/>
                <w:b/>
                <w:bCs/>
                <w:color w:val="1C1C1E"/>
                <w:sz w:val="18"/>
                <w:szCs w:val="18"/>
              </w:rPr>
              <w:t xml:space="preserve">Purpose</w:t>
            </w:r>
          </w:p>
        </w:tc>
        <w:tc>
          <w:tcPr>
            <w:tcW w:type="dxa" w:w="241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val="false"/>
              <w:spacing w:after="0"/>
              <w:jc w:val="left"/>
            </w:pPr>
            <w:r>
              <w:rPr>
                <w:rFonts w:ascii="Arial" w:cs="Arial" w:eastAsia="Arial" w:hAnsi="Arial"/>
                <w:b/>
                <w:bCs/>
                <w:color w:val="1C1C1E"/>
                <w:sz w:val="18"/>
                <w:szCs w:val="18"/>
              </w:rPr>
              <w:t xml:space="preserve">How Collected</w:t>
            </w:r>
          </w:p>
        </w:tc>
        <w:tc>
          <w:tcPr>
            <w:tcW w:type="dxa" w:w="453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val="false"/>
              <w:spacing w:after="0"/>
              <w:jc w:val="left"/>
            </w:pPr>
            <w:r>
              <w:rPr>
                <w:rFonts w:ascii="Arial" w:cs="Arial" w:eastAsia="Arial" w:hAnsi="Arial"/>
                <w:b/>
                <w:bCs/>
                <w:color w:val="1C1C1E"/>
                <w:sz w:val="18"/>
                <w:szCs w:val="18"/>
              </w:rPr>
              <w:t xml:space="preserve">Data Type</w:t>
            </w:r>
          </w:p>
        </w:tc>
      </w:tr>
      <w:tr>
        <w:tc>
          <w:tcPr>
            <w:tcW w:type="dxa" w:w="269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Account creation and authentication</w:t>
            </w:r>
          </w:p>
        </w:tc>
        <w:tc>
          <w:tcPr>
            <w:tcW w:type="dxa" w:w="241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Registration</w:t>
            </w:r>
          </w:p>
        </w:tc>
        <w:tc>
          <w:tcPr>
            <w:tcW w:type="dxa" w:w="45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Name, email address, encrypted password</w:t>
            </w:r>
          </w:p>
        </w:tc>
      </w:tr>
      <w:tr>
        <w:tc>
          <w:tcPr>
            <w:tcW w:type="dxa" w:w="269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Providing the service</w:t>
            </w:r>
          </w:p>
        </w:tc>
        <w:tc>
          <w:tcPr>
            <w:tcW w:type="dxa" w:w="241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Platform use</w:t>
            </w:r>
          </w:p>
        </w:tc>
        <w:tc>
          <w:tcPr>
            <w:tcW w:type="dxa" w:w="45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Conversations with agents, questions, responses</w:t>
            </w:r>
          </w:p>
        </w:tc>
      </w:tr>
      <w:tr>
        <w:tc>
          <w:tcPr>
            <w:tcW w:type="dxa" w:w="269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Product improvement and Seniority Score</w:t>
            </w:r>
          </w:p>
        </w:tc>
        <w:tc>
          <w:tcPr>
            <w:tcW w:type="dxa" w:w="241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Automatic</w:t>
            </w:r>
          </w:p>
        </w:tc>
        <w:tc>
          <w:tcPr>
            <w:tcW w:type="dxa" w:w="45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Usage patterns, frequency, question types</w:t>
            </w:r>
          </w:p>
        </w:tc>
      </w:tr>
      <w:tr>
        <w:tc>
          <w:tcPr>
            <w:tcW w:type="dxa" w:w="269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Billing and payments</w:t>
            </w:r>
          </w:p>
        </w:tc>
        <w:tc>
          <w:tcPr>
            <w:tcW w:type="dxa" w:w="241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Purchase</w:t>
            </w:r>
          </w:p>
        </w:tc>
        <w:tc>
          <w:tcPr>
            <w:tcW w:type="dxa" w:w="45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Payment details — processed by third-party provider only</w:t>
            </w:r>
          </w:p>
        </w:tc>
      </w:tr>
      <w:tr>
        <w:tc>
          <w:tcPr>
            <w:tcW w:type="dxa" w:w="269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Security and abuse prevention</w:t>
            </w:r>
          </w:p>
        </w:tc>
        <w:tc>
          <w:tcPr>
            <w:tcW w:type="dxa" w:w="241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Automatic</w:t>
            </w:r>
          </w:p>
        </w:tc>
        <w:tc>
          <w:tcPr>
            <w:tcW w:type="dxa" w:w="45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IP address, browser type, login timestamps</w:t>
            </w:r>
          </w:p>
        </w:tc>
      </w:tr>
    </w:tbl>
    <w:p>
      <w:pPr>
        <w:spacing w:after="0" w:before="0"/>
      </w:pPr>
      <w:r>
        <w:rPr>
          <w:rFonts w:ascii="Arial" w:cs="Arial" w:eastAsia="Arial" w:hAnsi="Arial"/>
          <w:b w:val="false"/>
          <w:bCs w:val="false"/>
          <w:color w:val="1C1C1E"/>
          <w:sz w:val="20"/>
          <w:szCs w:val="20"/>
        </w:rPr>
        <w:t xml:space="preserve"/>
      </w:r>
    </w:p>
    <w:p>
      <w:pPr>
        <w:bidi w:val="false"/>
        <w:spacing w:after="100" w:before="0" w:line="276"/>
        <w:jc w:val="left"/>
      </w:pPr>
      <w:r>
        <w:rPr>
          <w:rFonts w:ascii="Arial" w:cs="Arial" w:eastAsia="Arial" w:hAnsi="Arial"/>
          <w:b w:val="false"/>
          <w:bCs w:val="false"/>
          <w:color w:val="6E6E73"/>
          <w:sz w:val="18"/>
          <w:szCs w:val="18"/>
        </w:rPr>
        <w:t xml:space="preserve">We do NOT collect: national ID numbers, medical information, financial information beyond what is needed for billing, or information about children.</w:t>
      </w:r>
    </w:p>
    <w:p>
      <w:pPr>
        <w:bidi w:val="false"/>
        <w:spacing w:after="80" w:before="200" w:line="276"/>
        <w:jc w:val="left"/>
      </w:pPr>
      <w:r>
        <w:rPr>
          <w:rFonts w:ascii="Arial" w:cs="Arial" w:eastAsia="Arial" w:hAnsi="Arial"/>
          <w:b/>
          <w:bCs/>
          <w:color w:val="2D6A4F"/>
          <w:sz w:val="26"/>
          <w:szCs w:val="26"/>
        </w:rPr>
        <w:t xml:space="preserve">4. Conversation Retention Policy</w:t>
      </w:r>
    </w:p>
    <w:p>
      <w:pPr>
        <w:bidi w:val="false"/>
        <w:spacing w:after="100" w:before="0" w:line="276"/>
        <w:jc w:val="left"/>
      </w:pPr>
      <w:r>
        <w:rPr>
          <w:rFonts w:ascii="Arial" w:cs="Arial" w:eastAsia="Arial" w:hAnsi="Arial"/>
          <w:b w:val="false"/>
          <w:bCs w:val="false"/>
          <w:color w:val="1C1C1E"/>
          <w:sz w:val="20"/>
          <w:szCs w:val="20"/>
        </w:rPr>
        <w:t xml:space="preserve">We retain conversations in three layers: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3952"/>
        <w:gridCol w:w="2410"/>
      </w:tblGrid>
      <w:tr>
        <w:tc>
          <w:tcPr>
            <w:tcW w:type="dxa" w:w="3277"/>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val="false"/>
              <w:spacing w:after="0"/>
              <w:jc w:val="left"/>
            </w:pPr>
            <w:r>
              <w:rPr>
                <w:rFonts w:ascii="Arial" w:cs="Arial" w:eastAsia="Arial" w:hAnsi="Arial"/>
                <w:b/>
                <w:bCs/>
                <w:color w:val="1C1C1E"/>
                <w:sz w:val="18"/>
                <w:szCs w:val="18"/>
              </w:rPr>
              <w:t xml:space="preserve">Deletion</w:t>
            </w:r>
          </w:p>
        </w:tc>
        <w:tc>
          <w:tcPr>
            <w:tcW w:type="dxa" w:w="39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val="false"/>
              <w:spacing w:after="0"/>
              <w:jc w:val="left"/>
            </w:pPr>
            <w:r>
              <w:rPr>
                <w:rFonts w:ascii="Arial" w:cs="Arial" w:eastAsia="Arial" w:hAnsi="Arial"/>
                <w:b/>
                <w:bCs/>
                <w:color w:val="1C1C1E"/>
                <w:sz w:val="18"/>
                <w:szCs w:val="18"/>
              </w:rPr>
              <w:t xml:space="preserve">What Is Stored</w:t>
            </w:r>
          </w:p>
        </w:tc>
        <w:tc>
          <w:tcPr>
            <w:tcW w:type="dxa" w:w="241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val="false"/>
              <w:spacing w:after="0"/>
              <w:jc w:val="left"/>
            </w:pPr>
            <w:r>
              <w:rPr>
                <w:rFonts w:ascii="Arial" w:cs="Arial" w:eastAsia="Arial" w:hAnsi="Arial"/>
                <w:b/>
                <w:bCs/>
                <w:color w:val="1C1C1E"/>
                <w:sz w:val="18"/>
                <w:szCs w:val="18"/>
              </w:rPr>
              <w:t xml:space="preserve">Layer</w:t>
            </w:r>
          </w:p>
        </w:tc>
      </w:tr>
      <w:tr>
        <w:tc>
          <w:tcPr>
            <w:tcW w:type="dxa" w:w="3277"/>
            <w:tcBorders>
              <w:top w:val="single" w:color="CCCCCC" w:sz="4"/>
              <w:left w:val="single" w:color="CCCCCC" w:sz="4"/>
              <w:bottom w:val="single" w:color="CCCCCC" w:sz="4"/>
              <w:right w:val="single" w:color="CCCCCC" w:sz="4"/>
            </w:tcBorders>
            <w:shd w:fill="FFF8F0"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Automatic after 12 months</w:t>
            </w:r>
          </w:p>
        </w:tc>
        <w:tc>
          <w:tcPr>
            <w:tcW w:type="dxa" w:w="3952"/>
            <w:tcBorders>
              <w:top w:val="single" w:color="CCCCCC" w:sz="4"/>
              <w:left w:val="single" w:color="CCCCCC" w:sz="4"/>
              <w:bottom w:val="single" w:color="CCCCCC" w:sz="4"/>
              <w:right w:val="single" w:color="CCCCCC" w:sz="4"/>
            </w:tcBorders>
            <w:shd w:fill="FFF8F0"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Full conversation content with all agents</w:t>
            </w:r>
          </w:p>
        </w:tc>
        <w:tc>
          <w:tcPr>
            <w:tcW w:type="dxa" w:w="2410"/>
            <w:tcBorders>
              <w:top w:val="single" w:color="CCCCCC" w:sz="4"/>
              <w:left w:val="single" w:color="CCCCCC" w:sz="4"/>
              <w:bottom w:val="single" w:color="CCCCCC" w:sz="4"/>
              <w:right w:val="single" w:color="CCCCCC" w:sz="4"/>
            </w:tcBorders>
            <w:shd w:fill="FFF8F0"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Full Conversations</w:t>
            </w:r>
          </w:p>
        </w:tc>
      </w:tr>
      <w:tr>
        <w:tc>
          <w:tcPr>
            <w:tcW w:type="dxa" w:w="3277"/>
            <w:tcBorders>
              <w:top w:val="single" w:color="CCCCCC" w:sz="4"/>
              <w:left w:val="single" w:color="CCCCCC" w:sz="4"/>
              <w:bottom w:val="single" w:color="CCCCCC" w:sz="4"/>
              <w:right w:val="single" w:color="CCCCCC" w:sz="4"/>
            </w:tcBorders>
            <w:shd w:fill="F0FFF4"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Upon account deletion</w:t>
            </w:r>
          </w:p>
        </w:tc>
        <w:tc>
          <w:tcPr>
            <w:tcW w:type="dxa" w:w="3952"/>
            <w:tcBorders>
              <w:top w:val="single" w:color="CCCCCC" w:sz="4"/>
              <w:left w:val="single" w:color="CCCCCC" w:sz="4"/>
              <w:bottom w:val="single" w:color="CCCCCC" w:sz="4"/>
              <w:right w:val="single" w:color="CCCCCC" w:sz="4"/>
            </w:tcBorders>
            <w:shd w:fill="F0FFF4"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Summaries, insights, usage patterns — no raw content</w:t>
            </w:r>
          </w:p>
        </w:tc>
        <w:tc>
          <w:tcPr>
            <w:tcW w:type="dxa" w:w="2410"/>
            <w:tcBorders>
              <w:top w:val="single" w:color="CCCCCC" w:sz="4"/>
              <w:left w:val="single" w:color="CCCCCC" w:sz="4"/>
              <w:bottom w:val="single" w:color="CCCCCC" w:sz="4"/>
              <w:right w:val="single" w:color="CCCCCC" w:sz="4"/>
            </w:tcBorders>
            <w:shd w:fill="F0FFF4"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Summary &amp; Learning</w:t>
            </w:r>
          </w:p>
        </w:tc>
      </w:tr>
      <w:tr>
        <w:tc>
          <w:tcPr>
            <w:tcW w:type="dxa" w:w="3277"/>
            <w:tcBorders>
              <w:top w:val="single" w:color="CCCCCC" w:sz="4"/>
              <w:left w:val="single" w:color="CCCCCC" w:sz="4"/>
              <w:bottom w:val="single" w:color="CCCCCC" w:sz="4"/>
              <w:right w:val="single" w:color="CCCCCC" w:sz="4"/>
            </w:tcBorders>
            <w:shd w:fill="F0FFF4"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Upon account deletion</w:t>
            </w:r>
          </w:p>
        </w:tc>
        <w:tc>
          <w:tcPr>
            <w:tcW w:type="dxa" w:w="3952"/>
            <w:tcBorders>
              <w:top w:val="single" w:color="CCCCCC" w:sz="4"/>
              <w:left w:val="single" w:color="CCCCCC" w:sz="4"/>
              <w:bottom w:val="single" w:color="CCCCCC" w:sz="4"/>
              <w:right w:val="single" w:color="CCCCCC" w:sz="4"/>
            </w:tcBorders>
            <w:shd w:fill="F0FFF4"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User maturity score</w:t>
            </w:r>
          </w:p>
        </w:tc>
        <w:tc>
          <w:tcPr>
            <w:tcW w:type="dxa" w:w="2410"/>
            <w:tcBorders>
              <w:top w:val="single" w:color="CCCCCC" w:sz="4"/>
              <w:left w:val="single" w:color="CCCCCC" w:sz="4"/>
              <w:bottom w:val="single" w:color="CCCCCC" w:sz="4"/>
              <w:right w:val="single" w:color="CCCCCC" w:sz="4"/>
            </w:tcBorders>
            <w:shd w:fill="F0FFF4"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Seniority Score</w:t>
            </w:r>
          </w:p>
        </w:tc>
      </w:tr>
    </w:tbl>
    <w:p>
      <w:pPr>
        <w:spacing w:after="0" w:before="0"/>
      </w:pPr>
      <w:r>
        <w:rPr>
          <w:rFonts w:ascii="Arial" w:cs="Arial" w:eastAsia="Arial" w:hAnsi="Arial"/>
          <w:b w:val="false"/>
          <w:bCs w:val="false"/>
          <w:color w:val="1C1C1E"/>
          <w:sz w:val="20"/>
          <w:szCs w:val="20"/>
        </w:rPr>
        <w:t xml:space="preserve"/>
      </w:r>
    </w:p>
    <w:p>
      <w:pPr>
        <w:bidi w:val="false"/>
        <w:spacing w:after="100" w:before="0" w:line="276"/>
        <w:jc w:val="left"/>
      </w:pPr>
      <w:r>
        <w:rPr>
          <w:rFonts w:ascii="Arial" w:cs="Arial" w:eastAsia="Arial" w:hAnsi="Arial"/>
          <w:b w:val="false"/>
          <w:bCs w:val="false"/>
          <w:color w:val="1C1C1E"/>
          <w:sz w:val="20"/>
          <w:szCs w:val="20"/>
        </w:rPr>
        <w:t xml:space="preserve">Personal deletion right: Any user may delete an individual conversation at any time directly from the interface. Full account deletion requests will be completed within 30 days.</w:t>
      </w:r>
    </w:p>
    <w:p>
      <w:pPr>
        <w:bidi w:val="false"/>
        <w:spacing w:after="80" w:before="200" w:line="276"/>
        <w:jc w:val="left"/>
      </w:pPr>
      <w:r>
        <w:rPr>
          <w:rFonts w:ascii="Arial" w:cs="Arial" w:eastAsia="Arial" w:hAnsi="Arial"/>
          <w:b/>
          <w:bCs/>
          <w:color w:val="2D6A4F"/>
          <w:sz w:val="26"/>
          <w:szCs w:val="26"/>
        </w:rPr>
        <w:t xml:space="preserve">5. Seniority Score — Transparency</w:t>
      </w:r>
    </w:p>
    <w:p>
      <w:pPr>
        <w:bidi w:val="false"/>
        <w:spacing w:after="100" w:before="0" w:line="276"/>
        <w:jc w:val="left"/>
      </w:pPr>
      <w:r>
        <w:rPr>
          <w:rFonts w:ascii="Arial" w:cs="Arial" w:eastAsia="Arial" w:hAnsi="Arial"/>
          <w:b w:val="false"/>
          <w:bCs w:val="false"/>
          <w:color w:val="1C1C1E"/>
          <w:sz w:val="20"/>
          <w:szCs w:val="20"/>
        </w:rPr>
        <w:t xml:space="preserve">HypeShow calculates an Entrepreneurial Maturity Score (Seniority Score) for each user based on their interactions with agents. Important:</w:t>
      </w:r>
    </w:p>
    <w:p>
      <w:pPr>
        <w:bidi w:val="false"/>
        <w:spacing w:after="100" w:before="0" w:line="276"/>
        <w:ind w:left="400"/>
        <w:jc w:val="left"/>
      </w:pPr>
      <w:r>
        <w:rPr>
          <w:rFonts w:ascii="Arial" w:cs="Arial" w:eastAsia="Arial" w:hAnsi="Arial"/>
          <w:b w:val="false"/>
          <w:bCs w:val="false"/>
          <w:color w:val="1C1C1E"/>
          <w:sz w:val="20"/>
          <w:szCs w:val="20"/>
        </w:rPr>
        <w:t xml:space="preserve">• The score is calculated server-side only. Users see their score, not the algorithm.</w:t>
      </w:r>
    </w:p>
    <w:p>
      <w:pPr>
        <w:bidi w:val="false"/>
        <w:spacing w:after="100" w:before="0" w:line="276"/>
        <w:ind w:left="400"/>
        <w:jc w:val="left"/>
      </w:pPr>
      <w:r>
        <w:rPr>
          <w:rFonts w:ascii="Arial" w:cs="Arial" w:eastAsia="Arial" w:hAnsi="Arial"/>
          <w:b w:val="false"/>
          <w:bCs w:val="false"/>
          <w:color w:val="1C1C1E"/>
          <w:sz w:val="20"/>
          <w:szCs w:val="20"/>
        </w:rPr>
        <w:t xml:space="preserve">• The score is not used for automated decisions affecting user rights.</w:t>
      </w:r>
    </w:p>
    <w:p>
      <w:pPr>
        <w:bidi w:val="false"/>
        <w:spacing w:after="100" w:before="0" w:line="276"/>
        <w:ind w:left="400"/>
        <w:jc w:val="left"/>
      </w:pPr>
      <w:r>
        <w:rPr>
          <w:rFonts w:ascii="Arial" w:cs="Arial" w:eastAsia="Arial" w:hAnsi="Arial"/>
          <w:b w:val="false"/>
          <w:bCs w:val="false"/>
          <w:color w:val="1C1C1E"/>
          <w:sz w:val="20"/>
          <w:szCs w:val="20"/>
        </w:rPr>
        <w:t xml:space="preserve">• The score is not shared with third parties.</w:t>
      </w:r>
    </w:p>
    <w:p>
      <w:pPr>
        <w:bidi w:val="false"/>
        <w:spacing w:after="100" w:before="0" w:line="276"/>
        <w:ind w:left="400"/>
        <w:jc w:val="left"/>
      </w:pPr>
      <w:r>
        <w:rPr>
          <w:rFonts w:ascii="Arial" w:cs="Arial" w:eastAsia="Arial" w:hAnsi="Arial"/>
          <w:b w:val="false"/>
          <w:bCs w:val="false"/>
          <w:color w:val="1C1C1E"/>
          <w:sz w:val="20"/>
          <w:szCs w:val="20"/>
        </w:rPr>
        <w:t xml:space="preserve">• Users may request deletion of their score at any time.</w:t>
      </w:r>
    </w:p>
    <w:p>
      <w:pPr>
        <w:bidi w:val="false"/>
        <w:spacing w:after="80" w:before="200" w:line="276"/>
        <w:jc w:val="left"/>
      </w:pPr>
      <w:r>
        <w:rPr>
          <w:rFonts w:ascii="Arial" w:cs="Arial" w:eastAsia="Arial" w:hAnsi="Arial"/>
          <w:b/>
          <w:bCs/>
          <w:color w:val="2D6A4F"/>
          <w:sz w:val="26"/>
          <w:szCs w:val="26"/>
        </w:rPr>
        <w:t xml:space="preserve">6. Sharing with Third Parties</w:t>
      </w:r>
    </w:p>
    <w:p>
      <w:pPr>
        <w:bidi w:val="false"/>
        <w:spacing w:after="100" w:before="0" w:line="276"/>
        <w:jc w:val="left"/>
      </w:pPr>
      <w:r>
        <w:rPr>
          <w:rFonts w:ascii="Arial" w:cs="Arial" w:eastAsia="Arial" w:hAnsi="Arial"/>
          <w:b w:val="false"/>
          <w:bCs w:val="false"/>
          <w:color w:val="1C1C1E"/>
          <w:sz w:val="20"/>
          <w:szCs w:val="20"/>
        </w:rPr>
        <w:t xml:space="preserve">We do not sell personal data. We share information only with the following providers, solely for the purpose of delivering the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988"/>
        <w:gridCol w:w="3373"/>
      </w:tblGrid>
      <w:tr>
        <w:tc>
          <w:tcPr>
            <w:tcW w:type="dxa" w:w="3277"/>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val="false"/>
              <w:spacing w:after="0"/>
              <w:jc w:val="left"/>
            </w:pPr>
            <w:r>
              <w:rPr>
                <w:rFonts w:ascii="Arial" w:cs="Arial" w:eastAsia="Arial" w:hAnsi="Arial"/>
                <w:b/>
                <w:bCs/>
                <w:color w:val="1C1C1E"/>
                <w:sz w:val="18"/>
                <w:szCs w:val="18"/>
              </w:rPr>
              <w:t xml:space="preserve">Privacy Policy</w:t>
            </w:r>
          </w:p>
        </w:tc>
        <w:tc>
          <w:tcPr>
            <w:tcW w:type="dxa" w:w="298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val="false"/>
              <w:spacing w:after="0"/>
              <w:jc w:val="left"/>
            </w:pPr>
            <w:r>
              <w:rPr>
                <w:rFonts w:ascii="Arial" w:cs="Arial" w:eastAsia="Arial" w:hAnsi="Arial"/>
                <w:b/>
                <w:bCs/>
                <w:color w:val="1C1C1E"/>
                <w:sz w:val="18"/>
                <w:szCs w:val="18"/>
              </w:rPr>
              <w:t xml:space="preserve">Purpose</w:t>
            </w:r>
          </w:p>
        </w:tc>
        <w:tc>
          <w:tcPr>
            <w:tcW w:type="dxa" w:w="337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val="false"/>
              <w:spacing w:after="0"/>
              <w:jc w:val="left"/>
            </w:pPr>
            <w:r>
              <w:rPr>
                <w:rFonts w:ascii="Arial" w:cs="Arial" w:eastAsia="Arial" w:hAnsi="Arial"/>
                <w:b/>
                <w:bCs/>
                <w:color w:val="1C1C1E"/>
                <w:sz w:val="18"/>
                <w:szCs w:val="18"/>
              </w:rPr>
              <w:t xml:space="preserve">Provider</w:t>
            </w:r>
          </w:p>
        </w:tc>
      </w:tr>
      <w:tr>
        <w:tc>
          <w:tcPr>
            <w:tcW w:type="dxa" w:w="327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anthropic.com/privacy</w:t>
            </w:r>
          </w:p>
        </w:tc>
        <w:tc>
          <w:tcPr>
            <w:tcW w:type="dxa" w:w="298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AI conversation processing</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Anthropic</w:t>
            </w:r>
          </w:p>
        </w:tc>
      </w:tr>
      <w:tr>
        <w:tc>
          <w:tcPr>
            <w:tcW w:type="dxa" w:w="327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supabase.com/privacy</w:t>
            </w:r>
          </w:p>
        </w:tc>
        <w:tc>
          <w:tcPr>
            <w:tcW w:type="dxa" w:w="298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Database and user authentication</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Supabase</w:t>
            </w:r>
          </w:p>
        </w:tc>
      </w:tr>
      <w:tr>
        <w:tc>
          <w:tcPr>
            <w:tcW w:type="dxa" w:w="327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vercel.com/legal/privacy-policy</w:t>
            </w:r>
          </w:p>
        </w:tc>
        <w:tc>
          <w:tcPr>
            <w:tcW w:type="dxa" w:w="298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Hosting and deployment</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Vercel</w:t>
            </w:r>
          </w:p>
        </w:tc>
      </w:tr>
    </w:tbl>
    <w:p>
      <w:pPr>
        <w:spacing w:after="0" w:before="0"/>
      </w:pPr>
      <w:r>
        <w:rPr>
          <w:rFonts w:ascii="Arial" w:cs="Arial" w:eastAsia="Arial" w:hAnsi="Arial"/>
          <w:b w:val="false"/>
          <w:bCs w:val="false"/>
          <w:color w:val="1C1C1E"/>
          <w:sz w:val="20"/>
          <w:szCs w:val="20"/>
        </w:rPr>
        <w:t xml:space="preserve"/>
      </w:r>
    </w:p>
    <w:p>
      <w:pPr>
        <w:bidi w:val="false"/>
        <w:spacing w:after="100" w:before="0" w:line="276"/>
        <w:jc w:val="left"/>
      </w:pPr>
      <w:r>
        <w:rPr>
          <w:rFonts w:ascii="Arial" w:cs="Arial" w:eastAsia="Arial" w:hAnsi="Arial"/>
          <w:b w:val="false"/>
          <w:bCs w:val="false"/>
          <w:color w:val="7A4500"/>
          <w:sz w:val="18"/>
          <w:szCs w:val="18"/>
        </w:rPr>
        <w:t xml:space="preserve">Note: User conversations are sent to Anthropic for AI processing. Anthropic is committed to a policy of not using API data to train models without consent.</w:t>
      </w:r>
    </w:p>
    <w:p>
      <w:pPr>
        <w:bidi w:val="false"/>
        <w:spacing w:after="80" w:before="200" w:line="276"/>
        <w:jc w:val="left"/>
      </w:pPr>
      <w:r>
        <w:rPr>
          <w:rFonts w:ascii="Arial" w:cs="Arial" w:eastAsia="Arial" w:hAnsi="Arial"/>
          <w:b/>
          <w:bCs/>
          <w:color w:val="2D6A4F"/>
          <w:sz w:val="26"/>
          <w:szCs w:val="26"/>
        </w:rPr>
        <w:t xml:space="preserve">7. User Rights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4626"/>
      </w:tblGrid>
      <w:tr>
        <w:tc>
          <w:tcPr>
            <w:tcW w:type="dxa" w:w="50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val="false"/>
              <w:spacing w:after="0"/>
              <w:jc w:val="left"/>
            </w:pPr>
            <w:r>
              <w:rPr>
                <w:rFonts w:ascii="Arial" w:cs="Arial" w:eastAsia="Arial" w:hAnsi="Arial"/>
                <w:b/>
                <w:bCs/>
                <w:color w:val="1C1C1E"/>
                <w:sz w:val="18"/>
                <w:szCs w:val="18"/>
              </w:rPr>
              <w:t xml:space="preserve">How to Exercise</w:t>
            </w:r>
          </w:p>
        </w:tc>
        <w:tc>
          <w:tcPr>
            <w:tcW w:type="dxa" w:w="46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val="false"/>
              <w:spacing w:after="0"/>
              <w:jc w:val="left"/>
            </w:pPr>
            <w:r>
              <w:rPr>
                <w:rFonts w:ascii="Arial" w:cs="Arial" w:eastAsia="Arial" w:hAnsi="Arial"/>
                <w:b/>
                <w:bCs/>
                <w:color w:val="1C1C1E"/>
                <w:sz w:val="18"/>
                <w:szCs w:val="18"/>
              </w:rPr>
              <w:t xml:space="preserve">Right</w:t>
            </w:r>
          </w:p>
        </w:tc>
      </w:tr>
      <w:tr>
        <w:tc>
          <w:tcPr>
            <w:tcW w:type="dxa" w:w="50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Account Settings &gt; "My Data"</w:t>
            </w:r>
          </w:p>
        </w:tc>
        <w:tc>
          <w:tcPr>
            <w:tcW w:type="dxa" w:w="46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Right of Access — see all information we hold about you</w:t>
            </w:r>
          </w:p>
        </w:tc>
      </w:tr>
      <w:tr>
        <w:tc>
          <w:tcPr>
            <w:tcW w:type="dxa" w:w="50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Account Settings &gt; "Edit Data"</w:t>
            </w:r>
          </w:p>
        </w:tc>
        <w:tc>
          <w:tcPr>
            <w:tcW w:type="dxa" w:w="46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Right of Rectification — correct inaccurate information</w:t>
            </w:r>
          </w:p>
        </w:tc>
      </w:tr>
      <w:tr>
        <w:tc>
          <w:tcPr>
            <w:tcW w:type="dxa" w:w="50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Account Settings &gt; "Delete Account" — within 30 days</w:t>
            </w:r>
          </w:p>
        </w:tc>
        <w:tc>
          <w:tcPr>
            <w:tcW w:type="dxa" w:w="46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Right to Erasure — "the right to be forgotten"</w:t>
            </w:r>
          </w:p>
        </w:tc>
      </w:tr>
      <w:tr>
        <w:tc>
          <w:tcPr>
            <w:tcW w:type="dxa" w:w="50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Account Settings &gt; "Download My Data"</w:t>
            </w:r>
          </w:p>
        </w:tc>
        <w:tc>
          <w:tcPr>
            <w:tcW w:type="dxa" w:w="46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Right to Portability — receive your data in a readable format</w:t>
            </w:r>
          </w:p>
        </w:tc>
      </w:tr>
      <w:tr>
        <w:tc>
          <w:tcPr>
            <w:tcW w:type="dxa" w:w="50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privacy@hypeshow.com</w:t>
            </w:r>
          </w:p>
        </w:tc>
        <w:tc>
          <w:tcPr>
            <w:tcW w:type="dxa" w:w="46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Right to Object — object to certain processing</w:t>
            </w:r>
          </w:p>
        </w:tc>
      </w:tr>
    </w:tbl>
    <w:p>
      <w:pPr>
        <w:bidi w:val="false"/>
        <w:spacing w:after="80" w:before="200" w:line="276"/>
        <w:jc w:val="left"/>
      </w:pPr>
      <w:r>
        <w:rPr>
          <w:rFonts w:ascii="Arial" w:cs="Arial" w:eastAsia="Arial" w:hAnsi="Arial"/>
          <w:b/>
          <w:bCs/>
          <w:color w:val="2D6A4F"/>
          <w:sz w:val="26"/>
          <w:szCs w:val="26"/>
        </w:rPr>
        <w:t xml:space="preserve">8. Data Security</w:t>
      </w:r>
    </w:p>
    <w:p>
      <w:pPr>
        <w:bidi w:val="false"/>
        <w:spacing w:after="100" w:before="0" w:line="276"/>
        <w:jc w:val="left"/>
      </w:pPr>
      <w:r>
        <w:rPr>
          <w:rFonts w:ascii="Arial" w:cs="Arial" w:eastAsia="Arial" w:hAnsi="Arial"/>
          <w:b w:val="false"/>
          <w:bCs w:val="false"/>
          <w:color w:val="1C1C1E"/>
          <w:sz w:val="20"/>
          <w:szCs w:val="20"/>
        </w:rPr>
        <w:t xml:space="preserve">We implement industry-standard security measures: HTTPS encryption on all data traffic, Row Level Security (RLS) on every database table, two-factor authentication available to all users, and anomaly monitoring. In the event of a security breach affecting personal data, we will notify affected users within 72 hours in accordance with GDPR requirements.</w:t>
      </w:r>
    </w:p>
    <w:p>
      <w:pPr>
        <w:bidi w:val="false"/>
        <w:spacing w:after="80" w:before="200" w:line="276"/>
        <w:jc w:val="left"/>
      </w:pPr>
      <w:r>
        <w:rPr>
          <w:rFonts w:ascii="Arial" w:cs="Arial" w:eastAsia="Arial" w:hAnsi="Arial"/>
          <w:b/>
          <w:bCs/>
          <w:color w:val="2D6A4F"/>
          <w:sz w:val="26"/>
          <w:szCs w:val="26"/>
        </w:rPr>
        <w:t xml:space="preserve">9. Cookies</w:t>
      </w:r>
    </w:p>
    <w:p>
      <w:pPr>
        <w:bidi w:val="false"/>
        <w:spacing w:after="100" w:before="0" w:line="276"/>
        <w:jc w:val="left"/>
      </w:pPr>
      <w:r>
        <w:rPr>
          <w:rFonts w:ascii="Arial" w:cs="Arial" w:eastAsia="Arial" w:hAnsi="Arial"/>
          <w:b w:val="false"/>
          <w:bCs w:val="false"/>
          <w:color w:val="1C1C1E"/>
          <w:sz w:val="20"/>
          <w:szCs w:val="20"/>
        </w:rPr>
        <w:t xml:space="preserve">We use only essential cookies for authentication and session management. We do not use advertising or third-party tracking cookies. See our separate Cookie Policy for full details.</w:t>
      </w:r>
    </w:p>
    <w:p>
      <w:pPr>
        <w:bidi w:val="false"/>
        <w:spacing w:after="80" w:before="200" w:line="276"/>
        <w:jc w:val="left"/>
      </w:pPr>
      <w:r>
        <w:rPr>
          <w:rFonts w:ascii="Arial" w:cs="Arial" w:eastAsia="Arial" w:hAnsi="Arial"/>
          <w:b/>
          <w:bCs/>
          <w:color w:val="2D6A4F"/>
          <w:sz w:val="26"/>
          <w:szCs w:val="26"/>
        </w:rPr>
        <w:t xml:space="preserve">10. Changes to This Policy</w:t>
      </w:r>
    </w:p>
    <w:p>
      <w:pPr>
        <w:bidi w:val="false"/>
        <w:spacing w:after="100" w:before="0" w:line="276"/>
        <w:jc w:val="left"/>
      </w:pPr>
      <w:r>
        <w:rPr>
          <w:rFonts w:ascii="Arial" w:cs="Arial" w:eastAsia="Arial" w:hAnsi="Arial"/>
          <w:b w:val="false"/>
          <w:bCs w:val="false"/>
          <w:color w:val="1C1C1E"/>
          <w:sz w:val="20"/>
          <w:szCs w:val="20"/>
        </w:rPr>
        <w:t xml:space="preserve">If we make material changes to this policy, we will notify all registered users by email at least 30 days in advance. Continued use of the service after changes take effect constitutes acceptance of the updated terms.</w:t>
      </w:r>
    </w:p>
    <w:p>
      <w:pPr>
        <w:bidi w:val="false"/>
        <w:spacing w:after="80" w:before="200" w:line="276"/>
        <w:jc w:val="left"/>
      </w:pPr>
      <w:r>
        <w:rPr>
          <w:rFonts w:ascii="Arial" w:cs="Arial" w:eastAsia="Arial" w:hAnsi="Arial"/>
          <w:b/>
          <w:bCs/>
          <w:color w:val="2D6A4F"/>
          <w:sz w:val="26"/>
          <w:szCs w:val="26"/>
        </w:rPr>
        <w:t xml:space="preserve">11. Contact</w:t>
      </w:r>
    </w:p>
    <w:p>
      <w:pPr>
        <w:bidi w:val="false"/>
        <w:spacing w:after="100" w:before="0" w:line="276"/>
        <w:jc w:val="left"/>
      </w:pPr>
      <w:r>
        <w:rPr>
          <w:rFonts w:ascii="Arial" w:cs="Arial" w:eastAsia="Arial" w:hAnsi="Arial"/>
          <w:b w:val="false"/>
          <w:bCs w:val="false"/>
          <w:color w:val="1C1C1E"/>
          <w:sz w:val="20"/>
          <w:szCs w:val="20"/>
        </w:rPr>
        <w:t xml:space="preserve">For any question, request, or complaint regarding privacy: privacy@hypeshow.com | Nadav Dafni Internet &amp; Software Ltd., Co. No. 515039303</w:t>
      </w:r>
    </w:p>
    <w:p>
      <w:pPr>
        <w:bidi w:val="false"/>
        <w:spacing w:after="100" w:before="0" w:line="276"/>
        <w:jc w:val="left"/>
      </w:pPr>
      <w:r>
        <w:rPr>
          <w:rFonts w:ascii="Arial" w:cs="Arial" w:eastAsia="Arial" w:hAnsi="Arial"/>
          <w:b w:val="false"/>
          <w:bCs w:val="false"/>
          <w:color w:val="6E6E73"/>
          <w:sz w:val="18"/>
          <w:szCs w:val="18"/>
        </w:rPr>
        <w:t xml:space="preserve">Response time: up to 30 days for deletion and access requests, up to 72 hours for security breach reports.</w:t>
      </w:r>
    </w:p>
    <w:p>
      <w:pPr>
        <w:spacing w:after="0" w:before="0"/>
      </w:pPr>
      <w:r>
        <w:rPr>
          <w:rFonts w:ascii="Arial" w:cs="Arial" w:eastAsia="Arial" w:hAnsi="Arial"/>
          <w:b w:val="false"/>
          <w:bCs w:val="false"/>
          <w:color w:val="1C1C1E"/>
          <w:sz w:val="20"/>
          <w:szCs w:val="20"/>
        </w:rPr>
        <w:t xml:space="preserve"/>
      </w:r>
    </w:p>
    <w:p>
      <w:pPr>
        <w:pBdr>
          <w:bottom w:val="single" w:color="CCCCCC" w:sz="4" w:space="1"/>
        </w:pBdr>
        <w:bidi w:val="false"/>
        <w:spacing w:after="60" w:before="60"/>
        <w:jc w:val="left"/>
      </w:pPr>
      <w:r>
        <w:rPr>
          <w:rFonts w:ascii="Arial" w:cs="Arial" w:eastAsia="Arial" w:hAnsi="Arial"/>
          <w:b w:val="false"/>
          <w:bCs w:val="false"/>
          <w:color w:val="1C1C1E"/>
          <w:sz w:val="20"/>
          <w:szCs w:val="20"/>
        </w:rPr>
        <w:t xml:space="preserve"> </w:t>
      </w:r>
    </w:p>
    <w:p>
      <w:pPr>
        <w:spacing w:after="0" w:before="0"/>
      </w:pPr>
      <w:r>
        <w:rPr>
          <w:rFonts w:ascii="Arial" w:cs="Arial" w:eastAsia="Arial" w:hAnsi="Arial"/>
          <w:b w:val="false"/>
          <w:bCs w:val="false"/>
          <w:color w:val="1C1C1E"/>
          <w:sz w:val="20"/>
          <w:szCs w:val="20"/>
        </w:rPr>
        <w:t xml:space="preserve"/>
      </w:r>
    </w:p>
    <w:p>
      <w:pPr>
        <w:bidi w:val="false"/>
        <w:spacing w:after="100" w:before="0" w:line="276"/>
        <w:jc w:val="left"/>
      </w:pPr>
      <w:r>
        <w:rPr>
          <w:rFonts w:ascii="Arial" w:cs="Arial" w:eastAsia="Arial" w:hAnsi="Arial"/>
          <w:b w:val="false"/>
          <w:bCs w:val="false"/>
          <w:color w:val="6E6E73"/>
          <w:sz w:val="17"/>
          <w:szCs w:val="17"/>
        </w:rPr>
        <w:t xml:space="preserve">Written by / נכתב ע"י Tamar Cohen-Levi, Legal Advisor | Privacy Policy v1.5 | April 2026</w:t>
      </w:r>
    </w:p>
    <w:p>
      <w:pPr>
        <w:bidi w:val="false"/>
        <w:spacing w:after="100" w:before="0" w:line="276"/>
        <w:jc w:val="left"/>
      </w:pPr>
      <w:r>
        <w:rPr>
          <w:rFonts w:ascii="Arial" w:cs="Arial" w:eastAsia="Arial" w:hAnsi="Arial"/>
          <w:b w:val="false"/>
          <w:bCs w:val="false"/>
          <w:color w:val="7A4500"/>
          <w:sz w:val="17"/>
          <w:szCs w:val="17"/>
        </w:rPr>
        <w:t xml:space="preserve">This document is a draft. / מסמך זה הוא טיוטה. Verify with a licensed attorney before publishing.</w:t>
      </w:r>
    </w:p>
    <w:p>
      <w:r>
        <w:br w:type="page"/>
      </w:r>
    </w:p>
    <w:p>
      <w:pPr>
        <w:bidi/>
        <w:spacing w:after="60" w:before="60"/>
        <w:jc w:val="right"/>
      </w:pPr>
      <w:r>
        <w:rPr>
          <w:rFonts w:ascii="Arial" w:cs="Arial" w:eastAsia="Arial" w:hAnsi="Arial"/>
          <w:b/>
          <w:bCs/>
          <w:color w:val="999999"/>
          <w:sz w:val="22"/>
          <w:szCs w:val="22"/>
        </w:rPr>
        <w:t xml:space="preserve">— גרסה עברית —</w:t>
      </w:r>
    </w:p>
    <w:p>
      <w:pPr>
        <w:bidi/>
        <w:spacing w:after="60" w:before="0"/>
        <w:jc w:val="right"/>
      </w:pPr>
      <w:r>
        <w:rPr>
          <w:rFonts w:ascii="Arial" w:cs="Arial" w:eastAsia="Arial" w:hAnsi="Arial"/>
          <w:b/>
          <w:bCs/>
          <w:color w:val="1C1C1E"/>
          <w:sz w:val="40"/>
          <w:szCs w:val="40"/>
        </w:rPr>
        <w:t xml:space="preserve">מדיניות פרטיות</w:t>
      </w:r>
    </w:p>
    <w:p>
      <w:pPr>
        <w:bidi/>
        <w:spacing w:after="160"/>
        <w:jc w:val="right"/>
      </w:pPr>
      <w:r>
        <w:rPr>
          <w:rFonts w:ascii="Arial" w:cs="Arial" w:eastAsia="Arial" w:hAnsi="Arial"/>
          <w:b w:val="false"/>
          <w:bCs w:val="false"/>
          <w:color w:val="6E6E73"/>
          <w:sz w:val="20"/>
          <w:szCs w:val="20"/>
        </w:rPr>
        <w:t xml:space="preserve">HypeShow | נדב דפני אינטרנט ותוכנה בע"מ, ח.פ. 515039303 | גרסה 1.5 | אפריל 2026</w:t>
      </w:r>
    </w:p>
    <w:p>
      <w:pPr>
        <w:pBdr>
          <w:bottom w:val="single" w:color="2D6A4F" w:sz="16" w:space="1"/>
        </w:pBdr>
        <w:bidi w:val="false"/>
        <w:spacing w:after="40" w:before="40"/>
        <w:jc w:val="left"/>
      </w:pPr>
      <w:r>
        <w:rPr>
          <w:rFonts w:ascii="Arial" w:cs="Arial" w:eastAsia="Arial" w:hAnsi="Arial"/>
          <w:b w:val="false"/>
          <w:bCs w:val="false"/>
          <w:color w:val="1C1C1E"/>
          <w:sz w:val="20"/>
          <w:szCs w:val="20"/>
        </w:rPr>
        <w:t xml:space="preserve"> </w:t>
      </w:r>
    </w:p>
    <w:p>
      <w:pPr>
        <w:spacing w:after="0" w:before="0"/>
      </w:pPr>
      <w:r>
        <w:rPr>
          <w:rFonts w:ascii="Arial" w:cs="Arial" w:eastAsia="Arial" w:hAnsi="Arial"/>
          <w:b w:val="false"/>
          <w:bCs w:val="false"/>
          <w:color w:val="1C1C1E"/>
          <w:sz w:val="20"/>
          <w:szCs w:val="20"/>
        </w:rPr>
        <w:t xml:space="preserve"/>
      </w:r>
    </w:p>
    <w:p>
      <w:pPr>
        <w:bidi/>
        <w:spacing w:after="100" w:before="0" w:line="276"/>
        <w:jc w:val="right"/>
      </w:pPr>
      <w:r>
        <w:rPr>
          <w:rFonts w:ascii="Arial" w:cs="Arial" w:eastAsia="Arial" w:hAnsi="Arial"/>
          <w:b w:val="false"/>
          <w:bCs w:val="false"/>
          <w:color w:val="1C1C1E"/>
          <w:sz w:val="20"/>
          <w:szCs w:val="20"/>
        </w:rPr>
        <w:t xml:space="preserve">ב-HypeShow אנחנו מאמינים שפרטיות היא זכות, לא תכונה. מסמך זה מסביר בשפה ברורה מה אנחנו אוספים, למה, ומה אנחנו עושים איתו. אנחנו מחויבים לחוק הגנת הפרטיות הישראלי (תשמ"א-1981), לתקנות GDPR האירופאיות, ולחוק COPPA האמריקאי.</w:t>
      </w:r>
    </w:p>
    <w:p>
      <w:pPr>
        <w:spacing w:after="0" w:before="0"/>
      </w:pPr>
      <w:r>
        <w:rPr>
          <w:rFonts w:ascii="Arial" w:cs="Arial" w:eastAsia="Arial" w:hAnsi="Arial"/>
          <w:b w:val="false"/>
          <w:bCs w:val="false"/>
          <w:color w:val="1C1C1E"/>
          <w:sz w:val="20"/>
          <w:szCs w:val="20"/>
        </w:rPr>
        <w:t xml:space="preserve"/>
      </w:r>
    </w:p>
    <w:p>
      <w:pPr>
        <w:bidi/>
        <w:spacing w:after="80" w:before="200" w:line="276"/>
        <w:jc w:val="right"/>
      </w:pPr>
      <w:r>
        <w:rPr>
          <w:rFonts w:ascii="Arial" w:cs="Arial" w:eastAsia="Arial" w:hAnsi="Arial"/>
          <w:b/>
          <w:bCs/>
          <w:color w:val="2D6A4F"/>
          <w:sz w:val="26"/>
          <w:szCs w:val="26"/>
        </w:rPr>
        <w:t xml:space="preserve">1. מי אנחנו</w:t>
      </w:r>
    </w:p>
    <w:p>
      <w:pPr>
        <w:bidi/>
        <w:spacing w:after="100" w:before="0" w:line="276"/>
        <w:jc w:val="right"/>
      </w:pPr>
      <w:r>
        <w:rPr>
          <w:rFonts w:ascii="Arial" w:cs="Arial" w:eastAsia="Arial" w:hAnsi="Arial"/>
          <w:b w:val="false"/>
          <w:bCs w:val="false"/>
          <w:color w:val="1C1C1E"/>
          <w:sz w:val="20"/>
          <w:szCs w:val="20"/>
        </w:rPr>
        <w:t xml:space="preserve">HypeShow היא פלטפורמת SaaS המספקת ליזמים צוות ניהולי מדומה מבוסס בינה מלאכותית. החברה המפעילה היא נדב דפני אינטרנט ותוכנה בע"מ, ח.פ. 515039303. לכל שאלה בנושא פרטיות: privacy@hypeshow.com</w:t>
      </w:r>
    </w:p>
    <w:p>
      <w:pPr>
        <w:bidi/>
        <w:spacing w:after="80" w:before="200" w:line="276"/>
        <w:jc w:val="right"/>
      </w:pPr>
      <w:r>
        <w:rPr>
          <w:rFonts w:ascii="Arial" w:cs="Arial" w:eastAsia="Arial" w:hAnsi="Arial"/>
          <w:b/>
          <w:bCs/>
          <w:color w:val="2D6A4F"/>
          <w:sz w:val="26"/>
          <w:szCs w:val="26"/>
        </w:rPr>
        <w:t xml:space="preserve">2. גיל מינימלי</w:t>
      </w:r>
    </w:p>
    <w:p>
      <w:pPr>
        <w:bidi/>
        <w:spacing w:after="100" w:before="0" w:line="276"/>
        <w:jc w:val="right"/>
      </w:pPr>
      <w:r>
        <w:rPr>
          <w:rFonts w:ascii="Arial" w:cs="Arial" w:eastAsia="Arial" w:hAnsi="Arial"/>
          <w:b w:val="false"/>
          <w:bCs w:val="false"/>
          <w:color w:val="1C1C1E"/>
          <w:sz w:val="20"/>
          <w:szCs w:val="20"/>
        </w:rPr>
        <w:t xml:space="preserve">השירות מיועד למשתמשים בני 16 ומעלה. אנחנו לא אוספים ביודעין מידע מקטינים מתחת לגיל 16. אם גילית שילד מסר לנו מידע, אנא פנה אלינו ואנחנו נמחק את המידע מיידית.</w:t>
      </w:r>
    </w:p>
    <w:p>
      <w:pPr>
        <w:bidi/>
        <w:spacing w:after="100" w:before="0" w:line="276"/>
        <w:jc w:val="right"/>
      </w:pPr>
      <w:r>
        <w:rPr>
          <w:rFonts w:ascii="Arial" w:cs="Arial" w:eastAsia="Arial" w:hAnsi="Arial"/>
          <w:b w:val="false"/>
          <w:bCs w:val="false"/>
          <w:color w:val="6E6E73"/>
          <w:sz w:val="18"/>
          <w:szCs w:val="18"/>
        </w:rPr>
        <w:t xml:space="preserve">הערה: בארה"ב, ה-COPPA קובע גיל מינימלי של 13. מדיניות החברה מחמירה יותר ומגדירה 16 כגיל המינימלי לכל משתמש בכל מדינה.</w:t>
      </w:r>
    </w:p>
    <w:p>
      <w:pPr>
        <w:bidi/>
        <w:spacing w:after="80" w:before="200" w:line="276"/>
        <w:jc w:val="right"/>
      </w:pPr>
      <w:r>
        <w:rPr>
          <w:rFonts w:ascii="Arial" w:cs="Arial" w:eastAsia="Arial" w:hAnsi="Arial"/>
          <w:b/>
          <w:bCs/>
          <w:color w:val="2D6A4F"/>
          <w:sz w:val="26"/>
          <w:szCs w:val="26"/>
        </w:rPr>
        <w:t xml:space="preserve">3. מה אנחנו אוספים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410"/>
        <w:gridCol w:w="4530"/>
      </w:tblGrid>
      <w:tr>
        <w:tc>
          <w:tcPr>
            <w:tcW w:type="dxa" w:w="2699"/>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spacing w:after="0"/>
              <w:jc w:val="right"/>
            </w:pPr>
            <w:r>
              <w:rPr>
                <w:rFonts w:ascii="Arial" w:cs="Arial" w:eastAsia="Arial" w:hAnsi="Arial"/>
                <w:b/>
                <w:bCs/>
                <w:color w:val="1C1C1E"/>
                <w:sz w:val="18"/>
                <w:szCs w:val="18"/>
              </w:rPr>
              <w:t xml:space="preserve">מטרה</w:t>
            </w:r>
          </w:p>
        </w:tc>
        <w:tc>
          <w:tcPr>
            <w:tcW w:type="dxa" w:w="241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spacing w:after="0"/>
              <w:jc w:val="right"/>
            </w:pPr>
            <w:r>
              <w:rPr>
                <w:rFonts w:ascii="Arial" w:cs="Arial" w:eastAsia="Arial" w:hAnsi="Arial"/>
                <w:b/>
                <w:bCs/>
                <w:color w:val="1C1C1E"/>
                <w:sz w:val="18"/>
                <w:szCs w:val="18"/>
              </w:rPr>
              <w:t xml:space="preserve">כיצד נאסף</w:t>
            </w:r>
          </w:p>
        </w:tc>
        <w:tc>
          <w:tcPr>
            <w:tcW w:type="dxa" w:w="453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spacing w:after="0"/>
              <w:jc w:val="right"/>
            </w:pPr>
            <w:r>
              <w:rPr>
                <w:rFonts w:ascii="Arial" w:cs="Arial" w:eastAsia="Arial" w:hAnsi="Arial"/>
                <w:b/>
                <w:bCs/>
                <w:color w:val="1C1C1E"/>
                <w:sz w:val="18"/>
                <w:szCs w:val="18"/>
              </w:rPr>
              <w:t xml:space="preserve">סוג המידע</w:t>
            </w:r>
          </w:p>
        </w:tc>
      </w:tr>
      <w:tr>
        <w:tc>
          <w:tcPr>
            <w:tcW w:type="dxa" w:w="269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יצירת חשבון ואימות</w:t>
            </w:r>
          </w:p>
        </w:tc>
        <w:tc>
          <w:tcPr>
            <w:tcW w:type="dxa" w:w="241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הרשמה</w:t>
            </w:r>
          </w:p>
        </w:tc>
        <w:tc>
          <w:tcPr>
            <w:tcW w:type="dxa" w:w="45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שם, כתובת אימייל, סיסמה מוצפנת</w:t>
            </w:r>
          </w:p>
        </w:tc>
      </w:tr>
      <w:tr>
        <w:tc>
          <w:tcPr>
            <w:tcW w:type="dxa" w:w="269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מתן השירות</w:t>
            </w:r>
          </w:p>
        </w:tc>
        <w:tc>
          <w:tcPr>
            <w:tcW w:type="dxa" w:w="241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שימוש בפלטפורמה</w:t>
            </w:r>
          </w:p>
        </w:tc>
        <w:tc>
          <w:tcPr>
            <w:tcW w:type="dxa" w:w="45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שיחות עם סוכנים, שאלות, תשובות</w:t>
            </w:r>
          </w:p>
        </w:tc>
      </w:tr>
      <w:tr>
        <w:tc>
          <w:tcPr>
            <w:tcW w:type="dxa" w:w="269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שיפור המוצר ו-Seniority Score</w:t>
            </w:r>
          </w:p>
        </w:tc>
        <w:tc>
          <w:tcPr>
            <w:tcW w:type="dxa" w:w="241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אוטומטי</w:t>
            </w:r>
          </w:p>
        </w:tc>
        <w:tc>
          <w:tcPr>
            <w:tcW w:type="dxa" w:w="45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תבניות שימוש, תדירות, סוגי שאלות</w:t>
            </w:r>
          </w:p>
        </w:tc>
      </w:tr>
      <w:tr>
        <w:tc>
          <w:tcPr>
            <w:tcW w:type="dxa" w:w="269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חיוב ותשלומים</w:t>
            </w:r>
          </w:p>
        </w:tc>
        <w:tc>
          <w:tcPr>
            <w:tcW w:type="dxa" w:w="241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רכישה</w:t>
            </w:r>
          </w:p>
        </w:tc>
        <w:tc>
          <w:tcPr>
            <w:tcW w:type="dxa" w:w="45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פרטי תשלום - מעובדים ע"י ספק חיצוני בלבד</w:t>
            </w:r>
          </w:p>
        </w:tc>
      </w:tr>
      <w:tr>
        <w:tc>
          <w:tcPr>
            <w:tcW w:type="dxa" w:w="269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אבטחה ומניעת שימוש לרעה</w:t>
            </w:r>
          </w:p>
        </w:tc>
        <w:tc>
          <w:tcPr>
            <w:tcW w:type="dxa" w:w="241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אוטומטי</w:t>
            </w:r>
          </w:p>
        </w:tc>
        <w:tc>
          <w:tcPr>
            <w:tcW w:type="dxa" w:w="45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כתובת IP, סוג דפדפן, זמני כניסה</w:t>
            </w:r>
          </w:p>
        </w:tc>
      </w:tr>
    </w:tbl>
    <w:p>
      <w:pPr>
        <w:spacing w:after="0" w:before="0"/>
      </w:pPr>
      <w:r>
        <w:rPr>
          <w:rFonts w:ascii="Arial" w:cs="Arial" w:eastAsia="Arial" w:hAnsi="Arial"/>
          <w:b w:val="false"/>
          <w:bCs w:val="false"/>
          <w:color w:val="1C1C1E"/>
          <w:sz w:val="20"/>
          <w:szCs w:val="20"/>
        </w:rPr>
        <w:t xml:space="preserve"/>
      </w:r>
    </w:p>
    <w:p>
      <w:pPr>
        <w:bidi/>
        <w:spacing w:after="100" w:before="0" w:line="276"/>
        <w:jc w:val="right"/>
      </w:pPr>
      <w:r>
        <w:rPr>
          <w:rFonts w:ascii="Arial" w:cs="Arial" w:eastAsia="Arial" w:hAnsi="Arial"/>
          <w:b w:val="false"/>
          <w:bCs w:val="false"/>
          <w:color w:val="6E6E73"/>
          <w:sz w:val="18"/>
          <w:szCs w:val="18"/>
        </w:rPr>
        <w:t xml:space="preserve">אנחנו לא אוספים: מספרי תעודת זהות, מידע רפואי, מידע פיננסי מעבר לנדרש לחיוב, מידע על ילדים.</w:t>
      </w:r>
    </w:p>
    <w:p>
      <w:pPr>
        <w:bidi/>
        <w:spacing w:after="80" w:before="200" w:line="276"/>
        <w:jc w:val="right"/>
      </w:pPr>
      <w:r>
        <w:rPr>
          <w:rFonts w:ascii="Arial" w:cs="Arial" w:eastAsia="Arial" w:hAnsi="Arial"/>
          <w:b/>
          <w:bCs/>
          <w:color w:val="2D6A4F"/>
          <w:sz w:val="26"/>
          <w:szCs w:val="26"/>
        </w:rPr>
        <w:t xml:space="preserve">4. שמירת שיחות ומדיניות מחיקה</w:t>
      </w:r>
    </w:p>
    <w:p>
      <w:pPr>
        <w:bidi/>
        <w:spacing w:after="100" w:before="0" w:line="276"/>
        <w:jc w:val="right"/>
      </w:pPr>
      <w:r>
        <w:rPr>
          <w:rFonts w:ascii="Arial" w:cs="Arial" w:eastAsia="Arial" w:hAnsi="Arial"/>
          <w:b w:val="false"/>
          <w:bCs w:val="false"/>
          <w:color w:val="1C1C1E"/>
          <w:sz w:val="20"/>
          <w:szCs w:val="20"/>
        </w:rPr>
        <w:t xml:space="preserve">אנחנו שומרים שיחות בשלוש שכבות:</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3952"/>
        <w:gridCol w:w="2410"/>
      </w:tblGrid>
      <w:tr>
        <w:tc>
          <w:tcPr>
            <w:tcW w:type="dxa" w:w="3277"/>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spacing w:after="0"/>
              <w:jc w:val="right"/>
            </w:pPr>
            <w:r>
              <w:rPr>
                <w:rFonts w:ascii="Arial" w:cs="Arial" w:eastAsia="Arial" w:hAnsi="Arial"/>
                <w:b/>
                <w:bCs/>
                <w:color w:val="1C1C1E"/>
                <w:sz w:val="18"/>
                <w:szCs w:val="18"/>
              </w:rPr>
              <w:t xml:space="preserve">מחיקה</w:t>
            </w:r>
          </w:p>
        </w:tc>
        <w:tc>
          <w:tcPr>
            <w:tcW w:type="dxa" w:w="39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spacing w:after="0"/>
              <w:jc w:val="right"/>
            </w:pPr>
            <w:r>
              <w:rPr>
                <w:rFonts w:ascii="Arial" w:cs="Arial" w:eastAsia="Arial" w:hAnsi="Arial"/>
                <w:b/>
                <w:bCs/>
                <w:color w:val="1C1C1E"/>
                <w:sz w:val="18"/>
                <w:szCs w:val="18"/>
              </w:rPr>
              <w:t xml:space="preserve">מה נשמר</w:t>
            </w:r>
          </w:p>
        </w:tc>
        <w:tc>
          <w:tcPr>
            <w:tcW w:type="dxa" w:w="241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spacing w:after="0"/>
              <w:jc w:val="right"/>
            </w:pPr>
            <w:r>
              <w:rPr>
                <w:rFonts w:ascii="Arial" w:cs="Arial" w:eastAsia="Arial" w:hAnsi="Arial"/>
                <w:b/>
                <w:bCs/>
                <w:color w:val="1C1C1E"/>
                <w:sz w:val="18"/>
                <w:szCs w:val="18"/>
              </w:rPr>
              <w:t xml:space="preserve">שכבה</w:t>
            </w:r>
          </w:p>
        </w:tc>
      </w:tr>
      <w:tr>
        <w:tc>
          <w:tcPr>
            <w:tcW w:type="dxa" w:w="3277"/>
            <w:tcBorders>
              <w:top w:val="single" w:color="CCCCCC" w:sz="4"/>
              <w:left w:val="single" w:color="CCCCCC" w:sz="4"/>
              <w:bottom w:val="single" w:color="CCCCCC" w:sz="4"/>
              <w:right w:val="single" w:color="CCCCCC" w:sz="4"/>
            </w:tcBorders>
            <w:shd w:fill="FFF8F0"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אוטומטית לאחר 12 חודשים</w:t>
            </w:r>
          </w:p>
        </w:tc>
        <w:tc>
          <w:tcPr>
            <w:tcW w:type="dxa" w:w="3952"/>
            <w:tcBorders>
              <w:top w:val="single" w:color="CCCCCC" w:sz="4"/>
              <w:left w:val="single" w:color="CCCCCC" w:sz="4"/>
              <w:bottom w:val="single" w:color="CCCCCC" w:sz="4"/>
              <w:right w:val="single" w:color="CCCCCC" w:sz="4"/>
            </w:tcBorders>
            <w:shd w:fill="FFF8F0"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תוכן השיחה המלא עם כל הסוכנים</w:t>
            </w:r>
          </w:p>
        </w:tc>
        <w:tc>
          <w:tcPr>
            <w:tcW w:type="dxa" w:w="2410"/>
            <w:tcBorders>
              <w:top w:val="single" w:color="CCCCCC" w:sz="4"/>
              <w:left w:val="single" w:color="CCCCCC" w:sz="4"/>
              <w:bottom w:val="single" w:color="CCCCCC" w:sz="4"/>
              <w:right w:val="single" w:color="CCCCCC" w:sz="4"/>
            </w:tcBorders>
            <w:shd w:fill="FFF8F0"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שיחות מלאות</w:t>
            </w:r>
          </w:p>
        </w:tc>
      </w:tr>
      <w:tr>
        <w:tc>
          <w:tcPr>
            <w:tcW w:type="dxa" w:w="3277"/>
            <w:tcBorders>
              <w:top w:val="single" w:color="CCCCCC" w:sz="4"/>
              <w:left w:val="single" w:color="CCCCCC" w:sz="4"/>
              <w:bottom w:val="single" w:color="CCCCCC" w:sz="4"/>
              <w:right w:val="single" w:color="CCCCCC" w:sz="4"/>
            </w:tcBorders>
            <w:shd w:fill="F0FFF4"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עם מחיקת החשבון</w:t>
            </w:r>
          </w:p>
        </w:tc>
        <w:tc>
          <w:tcPr>
            <w:tcW w:type="dxa" w:w="3952"/>
            <w:tcBorders>
              <w:top w:val="single" w:color="CCCCCC" w:sz="4"/>
              <w:left w:val="single" w:color="CCCCCC" w:sz="4"/>
              <w:bottom w:val="single" w:color="CCCCCC" w:sz="4"/>
              <w:right w:val="single" w:color="CCCCCC" w:sz="4"/>
            </w:tcBorders>
            <w:shd w:fill="F0FFF4"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תמציות, insights, דפוסי שימוש ללא תוכן גולמי</w:t>
            </w:r>
          </w:p>
        </w:tc>
        <w:tc>
          <w:tcPr>
            <w:tcW w:type="dxa" w:w="2410"/>
            <w:tcBorders>
              <w:top w:val="single" w:color="CCCCCC" w:sz="4"/>
              <w:left w:val="single" w:color="CCCCCC" w:sz="4"/>
              <w:bottom w:val="single" w:color="CCCCCC" w:sz="4"/>
              <w:right w:val="single" w:color="CCCCCC" w:sz="4"/>
            </w:tcBorders>
            <w:shd w:fill="F0FFF4"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תמצית ולמידה</w:t>
            </w:r>
          </w:p>
        </w:tc>
      </w:tr>
      <w:tr>
        <w:tc>
          <w:tcPr>
            <w:tcW w:type="dxa" w:w="3277"/>
            <w:tcBorders>
              <w:top w:val="single" w:color="CCCCCC" w:sz="4"/>
              <w:left w:val="single" w:color="CCCCCC" w:sz="4"/>
              <w:bottom w:val="single" w:color="CCCCCC" w:sz="4"/>
              <w:right w:val="single" w:color="CCCCCC" w:sz="4"/>
            </w:tcBorders>
            <w:shd w:fill="F0FFF4"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עם מחיקת החשבון</w:t>
            </w:r>
          </w:p>
        </w:tc>
        <w:tc>
          <w:tcPr>
            <w:tcW w:type="dxa" w:w="3952"/>
            <w:tcBorders>
              <w:top w:val="single" w:color="CCCCCC" w:sz="4"/>
              <w:left w:val="single" w:color="CCCCCC" w:sz="4"/>
              <w:bottom w:val="single" w:color="CCCCCC" w:sz="4"/>
              <w:right w:val="single" w:color="CCCCCC" w:sz="4"/>
            </w:tcBorders>
            <w:shd w:fill="F0FFF4"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ציון הבשלות של המשתמש</w:t>
            </w:r>
          </w:p>
        </w:tc>
        <w:tc>
          <w:tcPr>
            <w:tcW w:type="dxa" w:w="2410"/>
            <w:tcBorders>
              <w:top w:val="single" w:color="CCCCCC" w:sz="4"/>
              <w:left w:val="single" w:color="CCCCCC" w:sz="4"/>
              <w:bottom w:val="single" w:color="CCCCCC" w:sz="4"/>
              <w:right w:val="single" w:color="CCCCCC" w:sz="4"/>
            </w:tcBorders>
            <w:shd w:fill="F0FFF4"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Seniority Score</w:t>
            </w:r>
          </w:p>
        </w:tc>
      </w:tr>
    </w:tbl>
    <w:p>
      <w:pPr>
        <w:spacing w:after="0" w:before="0"/>
      </w:pPr>
      <w:r>
        <w:rPr>
          <w:rFonts w:ascii="Arial" w:cs="Arial" w:eastAsia="Arial" w:hAnsi="Arial"/>
          <w:b w:val="false"/>
          <w:bCs w:val="false"/>
          <w:color w:val="1C1C1E"/>
          <w:sz w:val="20"/>
          <w:szCs w:val="20"/>
        </w:rPr>
        <w:t xml:space="preserve"/>
      </w:r>
    </w:p>
    <w:p>
      <w:pPr>
        <w:bidi/>
        <w:spacing w:after="100" w:before="0" w:line="276"/>
        <w:jc w:val="right"/>
      </w:pPr>
      <w:r>
        <w:rPr>
          <w:rFonts w:ascii="Arial" w:cs="Arial" w:eastAsia="Arial" w:hAnsi="Arial"/>
          <w:b w:val="false"/>
          <w:bCs w:val="false"/>
          <w:color w:val="1C1C1E"/>
          <w:sz w:val="20"/>
          <w:szCs w:val="20"/>
        </w:rPr>
        <w:t xml:space="preserve">זכות מחיקה אישית: כל משתמש יכול למחוק שיחה בודדת בכל עת, ישירות מהממשק. בקשת מחיקת חשבון מלאה תבוצע תוך 30 יום.</w:t>
      </w:r>
    </w:p>
    <w:p>
      <w:pPr>
        <w:bidi/>
        <w:spacing w:after="80" w:before="200" w:line="276"/>
        <w:jc w:val="right"/>
      </w:pPr>
      <w:r>
        <w:rPr>
          <w:rFonts w:ascii="Arial" w:cs="Arial" w:eastAsia="Arial" w:hAnsi="Arial"/>
          <w:b/>
          <w:bCs/>
          <w:color w:val="2D6A4F"/>
          <w:sz w:val="26"/>
          <w:szCs w:val="26"/>
        </w:rPr>
        <w:t xml:space="preserve">5. Seniority Score - שקיפות</w:t>
      </w:r>
    </w:p>
    <w:p>
      <w:pPr>
        <w:bidi/>
        <w:spacing w:after="100" w:before="0" w:line="276"/>
        <w:jc w:val="right"/>
      </w:pPr>
      <w:r>
        <w:rPr>
          <w:rFonts w:ascii="Arial" w:cs="Arial" w:eastAsia="Arial" w:hAnsi="Arial"/>
          <w:b w:val="false"/>
          <w:bCs w:val="false"/>
          <w:color w:val="1C1C1E"/>
          <w:sz w:val="20"/>
          <w:szCs w:val="20"/>
        </w:rPr>
        <w:t xml:space="preserve">HypeShow מחשבת לכל משתמש ציון בשלות יזמית על בסיס האינטראקציות שלו עם הסוכנים. חשוב לדעת:</w:t>
      </w:r>
    </w:p>
    <w:p>
      <w:pPr>
        <w:bidi/>
        <w:spacing w:after="100" w:before="0" w:line="276"/>
        <w:ind w:right="400"/>
        <w:jc w:val="right"/>
      </w:pPr>
      <w:r>
        <w:rPr>
          <w:rFonts w:ascii="Arial" w:cs="Arial" w:eastAsia="Arial" w:hAnsi="Arial"/>
          <w:b w:val="false"/>
          <w:bCs w:val="false"/>
          <w:color w:val="1C1C1E"/>
          <w:sz w:val="20"/>
          <w:szCs w:val="20"/>
        </w:rPr>
        <w:t xml:space="preserve">- הציון מחושב בצד השרת בלבד. המשתמש רואה את הציון שלו, לא את האלגוריתם.</w:t>
      </w:r>
    </w:p>
    <w:p>
      <w:pPr>
        <w:bidi/>
        <w:spacing w:after="100" w:before="0" w:line="276"/>
        <w:ind w:right="400"/>
        <w:jc w:val="right"/>
      </w:pPr>
      <w:r>
        <w:rPr>
          <w:rFonts w:ascii="Arial" w:cs="Arial" w:eastAsia="Arial" w:hAnsi="Arial"/>
          <w:b w:val="false"/>
          <w:bCs w:val="false"/>
          <w:color w:val="1C1C1E"/>
          <w:sz w:val="20"/>
          <w:szCs w:val="20"/>
        </w:rPr>
        <w:t xml:space="preserve">- הציון לא משמש לקבלת החלטות אוטומטיות המשפיעות על זכויות המשתמש.</w:t>
      </w:r>
    </w:p>
    <w:p>
      <w:pPr>
        <w:bidi/>
        <w:spacing w:after="100" w:before="0" w:line="276"/>
        <w:ind w:right="400"/>
        <w:jc w:val="right"/>
      </w:pPr>
      <w:r>
        <w:rPr>
          <w:rFonts w:ascii="Arial" w:cs="Arial" w:eastAsia="Arial" w:hAnsi="Arial"/>
          <w:b w:val="false"/>
          <w:bCs w:val="false"/>
          <w:color w:val="1C1C1E"/>
          <w:sz w:val="20"/>
          <w:szCs w:val="20"/>
        </w:rPr>
        <w:t xml:space="preserve">- הציון לא משותף עם צדדים שלישיים.</w:t>
      </w:r>
    </w:p>
    <w:p>
      <w:pPr>
        <w:bidi/>
        <w:spacing w:after="100" w:before="0" w:line="276"/>
        <w:ind w:right="400"/>
        <w:jc w:val="right"/>
      </w:pPr>
      <w:r>
        <w:rPr>
          <w:rFonts w:ascii="Arial" w:cs="Arial" w:eastAsia="Arial" w:hAnsi="Arial"/>
          <w:b w:val="false"/>
          <w:bCs w:val="false"/>
          <w:color w:val="1C1C1E"/>
          <w:sz w:val="20"/>
          <w:szCs w:val="20"/>
        </w:rPr>
        <w:t xml:space="preserve">- המשתמש יכול לבקש מחיקת הציון שלו בכל עת.</w:t>
      </w:r>
    </w:p>
    <w:p>
      <w:pPr>
        <w:bidi/>
        <w:spacing w:after="80" w:before="200" w:line="276"/>
        <w:jc w:val="right"/>
      </w:pPr>
      <w:r>
        <w:rPr>
          <w:rFonts w:ascii="Arial" w:cs="Arial" w:eastAsia="Arial" w:hAnsi="Arial"/>
          <w:b/>
          <w:bCs/>
          <w:color w:val="2D6A4F"/>
          <w:sz w:val="26"/>
          <w:szCs w:val="26"/>
        </w:rPr>
        <w:t xml:space="preserve">6. שיתוף מידע עם צדדים שלישיים</w:t>
      </w:r>
    </w:p>
    <w:p>
      <w:pPr>
        <w:bidi/>
        <w:spacing w:after="100" w:before="0" w:line="276"/>
        <w:jc w:val="right"/>
      </w:pPr>
      <w:r>
        <w:rPr>
          <w:rFonts w:ascii="Arial" w:cs="Arial" w:eastAsia="Arial" w:hAnsi="Arial"/>
          <w:b w:val="false"/>
          <w:bCs w:val="false"/>
          <w:color w:val="1C1C1E"/>
          <w:sz w:val="20"/>
          <w:szCs w:val="20"/>
        </w:rPr>
        <w:t xml:space="preserve">אנחנו לא מוכרים מידע אישי. אנחנו משתפים מידע רק עם הספקים הבאים, לצורך מתן השירות בלבד: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988"/>
        <w:gridCol w:w="3373"/>
      </w:tblGrid>
      <w:tr>
        <w:tc>
          <w:tcPr>
            <w:tcW w:type="dxa" w:w="3277"/>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spacing w:after="0"/>
              <w:jc w:val="right"/>
            </w:pPr>
            <w:r>
              <w:rPr>
                <w:rFonts w:ascii="Arial" w:cs="Arial" w:eastAsia="Arial" w:hAnsi="Arial"/>
                <w:b/>
                <w:bCs/>
                <w:color w:val="1C1C1E"/>
                <w:sz w:val="18"/>
                <w:szCs w:val="18"/>
              </w:rPr>
              <w:t xml:space="preserve">מדיניות פרטיות</w:t>
            </w:r>
          </w:p>
        </w:tc>
        <w:tc>
          <w:tcPr>
            <w:tcW w:type="dxa" w:w="298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spacing w:after="0"/>
              <w:jc w:val="right"/>
            </w:pPr>
            <w:r>
              <w:rPr>
                <w:rFonts w:ascii="Arial" w:cs="Arial" w:eastAsia="Arial" w:hAnsi="Arial"/>
                <w:b/>
                <w:bCs/>
                <w:color w:val="1C1C1E"/>
                <w:sz w:val="18"/>
                <w:szCs w:val="18"/>
              </w:rPr>
              <w:t xml:space="preserve">מטרה</w:t>
            </w:r>
          </w:p>
        </w:tc>
        <w:tc>
          <w:tcPr>
            <w:tcW w:type="dxa" w:w="337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spacing w:after="0"/>
              <w:jc w:val="right"/>
            </w:pPr>
            <w:r>
              <w:rPr>
                <w:rFonts w:ascii="Arial" w:cs="Arial" w:eastAsia="Arial" w:hAnsi="Arial"/>
                <w:b/>
                <w:bCs/>
                <w:color w:val="1C1C1E"/>
                <w:sz w:val="18"/>
                <w:szCs w:val="18"/>
              </w:rPr>
              <w:t xml:space="preserve">ספק</w:t>
            </w:r>
          </w:p>
        </w:tc>
      </w:tr>
      <w:tr>
        <w:tc>
          <w:tcPr>
            <w:tcW w:type="dxa" w:w="327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anthropic.com/privacy</w:t>
            </w:r>
          </w:p>
        </w:tc>
        <w:tc>
          <w:tcPr>
            <w:tcW w:type="dxa" w:w="298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עיבוד שיחות AI</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Anthropic</w:t>
            </w:r>
          </w:p>
        </w:tc>
      </w:tr>
      <w:tr>
        <w:tc>
          <w:tcPr>
            <w:tcW w:type="dxa" w:w="327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supabase.com/privacy</w:t>
            </w:r>
          </w:p>
        </w:tc>
        <w:tc>
          <w:tcPr>
            <w:tcW w:type="dxa" w:w="298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מסד נתונים ואימות משתמשים</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Supabase</w:t>
            </w:r>
          </w:p>
        </w:tc>
      </w:tr>
      <w:tr>
        <w:tc>
          <w:tcPr>
            <w:tcW w:type="dxa" w:w="327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vercel.com/legal/privacy-policy</w:t>
            </w:r>
          </w:p>
        </w:tc>
        <w:tc>
          <w:tcPr>
            <w:tcW w:type="dxa" w:w="298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אחסון ו-Hosting</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Vercel</w:t>
            </w:r>
          </w:p>
        </w:tc>
      </w:tr>
    </w:tbl>
    <w:p>
      <w:pPr>
        <w:spacing w:after="0" w:before="0"/>
      </w:pPr>
      <w:r>
        <w:rPr>
          <w:rFonts w:ascii="Arial" w:cs="Arial" w:eastAsia="Arial" w:hAnsi="Arial"/>
          <w:b w:val="false"/>
          <w:bCs w:val="false"/>
          <w:color w:val="1C1C1E"/>
          <w:sz w:val="20"/>
          <w:szCs w:val="20"/>
        </w:rPr>
        <w:t xml:space="preserve"/>
      </w:r>
    </w:p>
    <w:p>
      <w:pPr>
        <w:bidi/>
        <w:spacing w:after="100" w:before="0" w:line="276"/>
        <w:jc w:val="right"/>
      </w:pPr>
      <w:r>
        <w:rPr>
          <w:rFonts w:ascii="Arial" w:cs="Arial" w:eastAsia="Arial" w:hAnsi="Arial"/>
          <w:b w:val="false"/>
          <w:bCs w:val="false"/>
          <w:color w:val="7A4500"/>
          <w:sz w:val="18"/>
          <w:szCs w:val="18"/>
        </w:rPr>
        <w:t xml:space="preserve">הערה: שיחות המשתמשים נשלחות ל-Anthropic לצורך עיבוד ה-AI. Anthropic מחויבת במדיניות שלא להשתמש בנתוני API לאימון מודלים ללא הסכמה.</w:t>
      </w:r>
    </w:p>
    <w:p>
      <w:pPr>
        <w:bidi/>
        <w:spacing w:after="80" w:before="200" w:line="276"/>
        <w:jc w:val="right"/>
      </w:pPr>
      <w:r>
        <w:rPr>
          <w:rFonts w:ascii="Arial" w:cs="Arial" w:eastAsia="Arial" w:hAnsi="Arial"/>
          <w:b/>
          <w:bCs/>
          <w:color w:val="2D6A4F"/>
          <w:sz w:val="26"/>
          <w:szCs w:val="26"/>
        </w:rPr>
        <w:t xml:space="preserve">7. זכויות המשתמש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4626"/>
      </w:tblGrid>
      <w:tr>
        <w:tc>
          <w:tcPr>
            <w:tcW w:type="dxa" w:w="50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spacing w:after="0"/>
              <w:jc w:val="right"/>
            </w:pPr>
            <w:r>
              <w:rPr>
                <w:rFonts w:ascii="Arial" w:cs="Arial" w:eastAsia="Arial" w:hAnsi="Arial"/>
                <w:b/>
                <w:bCs/>
                <w:color w:val="1C1C1E"/>
                <w:sz w:val="18"/>
                <w:szCs w:val="18"/>
              </w:rPr>
              <w:t xml:space="preserve">כיצד לממש</w:t>
            </w:r>
          </w:p>
        </w:tc>
        <w:tc>
          <w:tcPr>
            <w:tcW w:type="dxa" w:w="46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spacing w:after="0"/>
              <w:jc w:val="right"/>
            </w:pPr>
            <w:r>
              <w:rPr>
                <w:rFonts w:ascii="Arial" w:cs="Arial" w:eastAsia="Arial" w:hAnsi="Arial"/>
                <w:b/>
                <w:bCs/>
                <w:color w:val="1C1C1E"/>
                <w:sz w:val="18"/>
                <w:szCs w:val="18"/>
              </w:rPr>
              <w:t xml:space="preserve">הזכות</w:t>
            </w:r>
          </w:p>
        </w:tc>
      </w:tr>
      <w:tr>
        <w:tc>
          <w:tcPr>
            <w:tcW w:type="dxa" w:w="50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הגדרות חשבון &gt; "המידע שלי"</w:t>
            </w:r>
          </w:p>
        </w:tc>
        <w:tc>
          <w:tcPr>
            <w:tcW w:type="dxa" w:w="46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זכות לעיון - לראות את כל המידע שיש לנו עליך</w:t>
            </w:r>
          </w:p>
        </w:tc>
      </w:tr>
      <w:tr>
        <w:tc>
          <w:tcPr>
            <w:tcW w:type="dxa" w:w="50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הגדרות חשבון &gt; "תקן מידע"</w:t>
            </w:r>
          </w:p>
        </w:tc>
        <w:tc>
          <w:tcPr>
            <w:tcW w:type="dxa" w:w="46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זכות לתיקון - לתקן מידע שגוי</w:t>
            </w:r>
          </w:p>
        </w:tc>
      </w:tr>
      <w:tr>
        <w:tc>
          <w:tcPr>
            <w:tcW w:type="dxa" w:w="50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הגדרות חשבון &gt; "מחק חשבון" - תוך 30 יום</w:t>
            </w:r>
          </w:p>
        </w:tc>
        <w:tc>
          <w:tcPr>
            <w:tcW w:type="dxa" w:w="46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זכות למחיקה - "הזכות להישכח"</w:t>
            </w:r>
          </w:p>
        </w:tc>
      </w:tr>
      <w:tr>
        <w:tc>
          <w:tcPr>
            <w:tcW w:type="dxa" w:w="50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הגדרות חשבון &gt; "הורד את המידע שלי"</w:t>
            </w:r>
          </w:p>
        </w:tc>
        <w:tc>
          <w:tcPr>
            <w:tcW w:type="dxa" w:w="46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זכות לניידות - לקבל את המידע בפורמט קריא</w:t>
            </w:r>
          </w:p>
        </w:tc>
      </w:tr>
      <w:tr>
        <w:tc>
          <w:tcPr>
            <w:tcW w:type="dxa" w:w="50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privacy@hypeshow.com</w:t>
            </w:r>
          </w:p>
        </w:tc>
        <w:tc>
          <w:tcPr>
            <w:tcW w:type="dxa" w:w="46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זכות להתנגדות - להתנגד לעיבוד מסוים</w:t>
            </w:r>
          </w:p>
        </w:tc>
      </w:tr>
    </w:tbl>
    <w:p>
      <w:pPr>
        <w:bidi/>
        <w:spacing w:after="80" w:before="200" w:line="276"/>
        <w:jc w:val="right"/>
      </w:pPr>
      <w:r>
        <w:rPr>
          <w:rFonts w:ascii="Arial" w:cs="Arial" w:eastAsia="Arial" w:hAnsi="Arial"/>
          <w:b/>
          <w:bCs/>
          <w:color w:val="2D6A4F"/>
          <w:sz w:val="26"/>
          <w:szCs w:val="26"/>
        </w:rPr>
        <w:t xml:space="preserve">8. אבטחת מידע</w:t>
      </w:r>
    </w:p>
    <w:p>
      <w:pPr>
        <w:bidi/>
        <w:spacing w:after="100" w:before="0" w:line="276"/>
        <w:jc w:val="right"/>
      </w:pPr>
      <w:r>
        <w:rPr>
          <w:rFonts w:ascii="Arial" w:cs="Arial" w:eastAsia="Arial" w:hAnsi="Arial"/>
          <w:b w:val="false"/>
          <w:bCs w:val="false"/>
          <w:color w:val="1C1C1E"/>
          <w:sz w:val="20"/>
          <w:szCs w:val="20"/>
        </w:rPr>
        <w:t xml:space="preserve">אנחנו מיישמים אמצעי אבטחה בתעשייה: הצפנת HTTPS על כל תעבורת הנתונים, Row Level Security על כל טבלה במסד הנתונים, אימות דו-שלבי זמין לכל המשתמשים, וניטור אנומליות. במקרה של פרצת אבטחה, נודיע למשתמשים המושפעים תוך 72 שעות בהתאם לדרישות GDPR.</w:t>
      </w:r>
    </w:p>
    <w:p>
      <w:pPr>
        <w:bidi/>
        <w:spacing w:after="80" w:before="200" w:line="276"/>
        <w:jc w:val="right"/>
      </w:pPr>
      <w:r>
        <w:rPr>
          <w:rFonts w:ascii="Arial" w:cs="Arial" w:eastAsia="Arial" w:hAnsi="Arial"/>
          <w:b/>
          <w:bCs/>
          <w:color w:val="2D6A4F"/>
          <w:sz w:val="26"/>
          <w:szCs w:val="26"/>
        </w:rPr>
        <w:t xml:space="preserve">9. עוגיות</w:t>
      </w:r>
    </w:p>
    <w:p>
      <w:pPr>
        <w:bidi/>
        <w:spacing w:after="100" w:before="0" w:line="276"/>
        <w:jc w:val="right"/>
      </w:pPr>
      <w:r>
        <w:rPr>
          <w:rFonts w:ascii="Arial" w:cs="Arial" w:eastAsia="Arial" w:hAnsi="Arial"/>
          <w:b w:val="false"/>
          <w:bCs w:val="false"/>
          <w:color w:val="1C1C1E"/>
          <w:sz w:val="20"/>
          <w:szCs w:val="20"/>
        </w:rPr>
        <w:t xml:space="preserve">אנחנו משתמשים בעוגיות הכרחיות בלבד לצורך אימות וניהול סשן. אנחנו לא משתמשים בעוגיות פרסומיות. ראה את מדיניות העוגיות הנפרדת שלנו לפרטים מלאים.</w:t>
      </w:r>
    </w:p>
    <w:p>
      <w:pPr>
        <w:bidi/>
        <w:spacing w:after="80" w:before="200" w:line="276"/>
        <w:jc w:val="right"/>
      </w:pPr>
      <w:r>
        <w:rPr>
          <w:rFonts w:ascii="Arial" w:cs="Arial" w:eastAsia="Arial" w:hAnsi="Arial"/>
          <w:b/>
          <w:bCs/>
          <w:color w:val="2D6A4F"/>
          <w:sz w:val="26"/>
          <w:szCs w:val="26"/>
        </w:rPr>
        <w:t xml:space="preserve">10. שינויים במדיניות</w:t>
      </w:r>
    </w:p>
    <w:p>
      <w:pPr>
        <w:bidi/>
        <w:spacing w:after="100" w:before="0" w:line="276"/>
        <w:jc w:val="right"/>
      </w:pPr>
      <w:r>
        <w:rPr>
          <w:rFonts w:ascii="Arial" w:cs="Arial" w:eastAsia="Arial" w:hAnsi="Arial"/>
          <w:b w:val="false"/>
          <w:bCs w:val="false"/>
          <w:color w:val="1C1C1E"/>
          <w:sz w:val="20"/>
          <w:szCs w:val="20"/>
        </w:rPr>
        <w:t xml:space="preserve">אם נשנה מדיניות זו בצורה מהותית, נודיע לכל המשתמשים הרשומים באימייל לפחות 30 יום מראש. המשך שימוש בשירות לאחר כניסת השינויים לתוקף מהווה הסכמה לתנאים המעודכנים.</w:t>
      </w:r>
    </w:p>
    <w:p>
      <w:pPr>
        <w:bidi/>
        <w:spacing w:after="80" w:before="200" w:line="276"/>
        <w:jc w:val="right"/>
      </w:pPr>
      <w:r>
        <w:rPr>
          <w:rFonts w:ascii="Arial" w:cs="Arial" w:eastAsia="Arial" w:hAnsi="Arial"/>
          <w:b/>
          <w:bCs/>
          <w:color w:val="2D6A4F"/>
          <w:sz w:val="26"/>
          <w:szCs w:val="26"/>
        </w:rPr>
        <w:t xml:space="preserve">11. יצירת קשר</w:t>
      </w:r>
    </w:p>
    <w:p>
      <w:pPr>
        <w:bidi/>
        <w:spacing w:after="100" w:before="0" w:line="276"/>
        <w:jc w:val="right"/>
      </w:pPr>
      <w:r>
        <w:rPr>
          <w:rFonts w:ascii="Arial" w:cs="Arial" w:eastAsia="Arial" w:hAnsi="Arial"/>
          <w:b w:val="false"/>
          <w:bCs w:val="false"/>
          <w:color w:val="1C1C1E"/>
          <w:sz w:val="20"/>
          <w:szCs w:val="20"/>
        </w:rPr>
        <w:t xml:space="preserve">לכל שאלה, בקשה, או תלונה בנושא פרטיות: privacy@hypeshow.com | נדב דפני אינטרנט ותוכנה בע"מ, ח.פ. 515039303</w:t>
      </w:r>
    </w:p>
    <w:p>
      <w:pPr>
        <w:bidi/>
        <w:spacing w:after="100" w:before="0" w:line="276"/>
        <w:jc w:val="right"/>
      </w:pPr>
      <w:r>
        <w:rPr>
          <w:rFonts w:ascii="Arial" w:cs="Arial" w:eastAsia="Arial" w:hAnsi="Arial"/>
          <w:b w:val="false"/>
          <w:bCs w:val="false"/>
          <w:color w:val="6E6E73"/>
          <w:sz w:val="18"/>
          <w:szCs w:val="18"/>
        </w:rPr>
        <w:t xml:space="preserve">זמן תגובה: עד 30 יום לבקשות מחיקה ועיון, עד 72 שעות לדיווחי פרצות אבטחה.</w:t>
      </w:r>
    </w:p>
    <w:p>
      <w:pPr>
        <w:spacing w:after="0" w:before="0"/>
      </w:pPr>
      <w:r>
        <w:rPr>
          <w:rFonts w:ascii="Arial" w:cs="Arial" w:eastAsia="Arial" w:hAnsi="Arial"/>
          <w:b w:val="false"/>
          <w:bCs w:val="false"/>
          <w:color w:val="1C1C1E"/>
          <w:sz w:val="20"/>
          <w:szCs w:val="20"/>
        </w:rPr>
        <w:t xml:space="preserve"/>
      </w:r>
    </w:p>
    <w:p>
      <w:pPr>
        <w:pBdr>
          <w:bottom w:val="single" w:color="CCCCCC" w:sz="4" w:space="1"/>
        </w:pBdr>
        <w:bidi/>
        <w:spacing w:after="60" w:before="60"/>
        <w:jc w:val="right"/>
      </w:pPr>
      <w:r>
        <w:rPr>
          <w:rFonts w:ascii="Arial" w:cs="Arial" w:eastAsia="Arial" w:hAnsi="Arial"/>
          <w:b w:val="false"/>
          <w:bCs w:val="false"/>
          <w:color w:val="1C1C1E"/>
          <w:sz w:val="20"/>
          <w:szCs w:val="20"/>
        </w:rPr>
        <w:t xml:space="preserve"> </w:t>
      </w:r>
    </w:p>
    <w:p>
      <w:pPr>
        <w:spacing w:after="0" w:before="0"/>
      </w:pPr>
      <w:r>
        <w:rPr>
          <w:rFonts w:ascii="Arial" w:cs="Arial" w:eastAsia="Arial" w:hAnsi="Arial"/>
          <w:b w:val="false"/>
          <w:bCs w:val="false"/>
          <w:color w:val="1C1C1E"/>
          <w:sz w:val="20"/>
          <w:szCs w:val="20"/>
        </w:rPr>
        <w:t xml:space="preserve"/>
      </w:r>
    </w:p>
    <w:p>
      <w:pPr>
        <w:bidi/>
        <w:spacing w:after="100" w:before="0" w:line="276"/>
        <w:jc w:val="right"/>
      </w:pPr>
      <w:r>
        <w:rPr>
          <w:rFonts w:ascii="Arial" w:cs="Arial" w:eastAsia="Arial" w:hAnsi="Arial"/>
          <w:b w:val="false"/>
          <w:bCs w:val="false"/>
          <w:color w:val="6E6E73"/>
          <w:sz w:val="17"/>
          <w:szCs w:val="17"/>
        </w:rPr>
        <w:t xml:space="preserve">Written by / נכתב ע"י Tamar Cohen-Levi, Legal Advisor | מדיניות פרטיות v1.5 | April 2026</w:t>
      </w:r>
    </w:p>
    <w:p>
      <w:pPr>
        <w:bidi/>
        <w:spacing w:after="100" w:before="0" w:line="276"/>
        <w:jc w:val="right"/>
      </w:pPr>
      <w:r>
        <w:rPr>
          <w:rFonts w:ascii="Arial" w:cs="Arial" w:eastAsia="Arial" w:hAnsi="Arial"/>
          <w:b w:val="false"/>
          <w:bCs w:val="false"/>
          <w:color w:val="7A4500"/>
          <w:sz w:val="17"/>
          <w:szCs w:val="17"/>
        </w:rPr>
        <w:t xml:space="preserve">This document is a draft. / מסמך זה הוא טיוטה. Verify with a licensed attorney before publishing.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2026-04-10T08:03:35.174Z</dcterms:created>
  <dcterms:modified xsi:type="dcterms:W3CDTF">2026-04-10T08:03:35.175Z</dcterms:modified>
</cp:coreProperties>
</file>

<file path=docProps/custom.xml><?xml version="1.0" encoding="utf-8"?>
<Properties xmlns="http://schemas.openxmlformats.org/officeDocument/2006/custom-properties" xmlns:vt="http://schemas.openxmlformats.org/officeDocument/2006/docPropsVTypes"/>
</file>