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Website Development Quotation</w:t>
      </w:r>
    </w:p>
    <w:p>
      <w:pPr>
        <w:pStyle w:val="Subtitle"/>
      </w:pPr>
      <w:r>
        <w:t>ROAA Construction and Finishing</w:t>
      </w:r>
    </w:p>
    <w:p>
      <w:r>
        <w:t>Prepared by: Nesma Elsafty | Freelance Developer</w:t>
        <w:br/>
        <w:t>Date: 7 October 2026 | Reference: ROAA-WEB-001</w:t>
        <w:br/>
        <w:t>Quotation valid for 14 days from the issue date.</w:t>
      </w:r>
    </w:p>
    <w:p>
      <w:pPr>
        <w:pStyle w:val="Heading1"/>
        <w:keepNext/>
      </w:pPr>
      <w:r>
        <w:t>Project Overview</w:t>
      </w:r>
    </w:p>
    <w:p>
      <w:r>
        <w:t>Develop a responsive Arabic and English website with frontend and backend implementation and a password-protected admin dashboard. The website will follow ROAA’s supplied brand guidelines and support Light and Dark themes.</w:t>
      </w:r>
    </w:p>
    <w:p>
      <w:pPr>
        <w:pStyle w:val="Heading1"/>
        <w:keepNext/>
      </w:pPr>
      <w:r>
        <w:t>1 Website Frontend</w:t>
      </w:r>
    </w:p>
    <w:p>
      <w:pPr>
        <w:pStyle w:val="ListBullet"/>
      </w:pPr>
      <w:r>
        <w:t>Home, About ROAA, Services listing and details, Projects listing and details with image galleries, and Contact pages.</w:t>
      </w:r>
    </w:p>
    <w:p>
      <w:pPr>
        <w:pStyle w:val="ListBullet"/>
      </w:pPr>
      <w:r>
        <w:t>Terms and Conditions, Privacy Policy, and FAQs if content is supplied.</w:t>
      </w:r>
    </w:p>
    <w:p>
      <w:pPr>
        <w:pStyle w:val="ListBullet"/>
      </w:pPr>
      <w:r>
        <w:t>Arabic and English content, RTL and LTR layouts, and a language switcher.</w:t>
      </w:r>
    </w:p>
    <w:p>
      <w:pPr>
        <w:pStyle w:val="ListBullet"/>
      </w:pPr>
      <w:r>
        <w:t>Light and Dark themes with a theme switcher and saved preference.</w:t>
      </w:r>
    </w:p>
    <w:p>
      <w:pPr>
        <w:pStyle w:val="ListBullet"/>
      </w:pPr>
      <w:r>
        <w:t>Responsive layouts for desktop, tablet, and mobile.</w:t>
      </w:r>
    </w:p>
    <w:p>
      <w:pPr>
        <w:pStyle w:val="ListBullet"/>
      </w:pPr>
      <w:r>
        <w:t>Brand colors, typography, logos, and visual assets applied to approved layouts.</w:t>
      </w:r>
    </w:p>
    <w:p>
      <w:pPr>
        <w:pStyle w:val="ListBullet"/>
      </w:pPr>
      <w:r>
        <w:t>WhatsApp, phone, email, and social media links.</w:t>
      </w:r>
    </w:p>
    <w:p>
      <w:pPr>
        <w:pStyle w:val="ListBullet"/>
      </w:pPr>
      <w:r>
        <w:t>Contact form delivering inquiries to the designated company email.</w:t>
      </w:r>
    </w:p>
    <w:p>
      <w:pPr>
        <w:pStyle w:val="ListBullet"/>
      </w:pPr>
      <w:r>
        <w:t>Basic technical SEO setup including page titles, meta descriptions, and sitemap.</w:t>
      </w:r>
    </w:p>
    <w:p>
      <w:r>
        <w:t>Page layouts will be prepared during development for client approval. A separate Figma design deliverable is not included.</w:t>
      </w:r>
    </w:p>
    <w:p>
      <w:pPr>
        <w:pStyle w:val="Heading1"/>
        <w:keepNext/>
      </w:pPr>
      <w:r>
        <w:t>2 Backend and Admin Dashboard</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4320"/>
      </w:tblGrid>
      <w:tr>
        <w:tc>
          <w:tcPr>
            <w:tcW w:type="dxa" w:w="4320"/>
            <w:shd w:fill="E8EDF2"/>
            <w:tcMar>
              <w:top w:w="70" w:type="dxa"/>
              <w:bottom w:w="70" w:type="dxa"/>
              <w:left w:w="70" w:type="dxa"/>
              <w:right w:w="70" w:type="dxa"/>
            </w:tcMar>
          </w:tcPr>
          <w:p>
            <w:pPr>
              <w:spacing w:after="80"/>
            </w:pPr>
            <w:r>
              <w:rPr>
                <w:b/>
              </w:rPr>
              <w:t>Module</w:t>
            </w:r>
          </w:p>
        </w:tc>
        <w:tc>
          <w:tcPr>
            <w:tcW w:type="dxa" w:w="4320"/>
            <w:shd w:fill="E8EDF2"/>
            <w:tcMar>
              <w:top w:w="70" w:type="dxa"/>
              <w:bottom w:w="70" w:type="dxa"/>
              <w:left w:w="70" w:type="dxa"/>
              <w:right w:w="70" w:type="dxa"/>
            </w:tcMar>
          </w:tcPr>
          <w:p>
            <w:pPr>
              <w:spacing w:after="80"/>
            </w:pPr>
            <w:r>
              <w:rPr>
                <w:b/>
              </w:rPr>
              <w:t>Included capabilities</w:t>
            </w:r>
          </w:p>
        </w:tc>
      </w:tr>
      <w:tr>
        <w:tc>
          <w:tcPr>
            <w:tcW w:type="dxa" w:w="4320"/>
            <w:tcMar>
              <w:top w:w="70" w:type="dxa"/>
              <w:bottom w:w="70" w:type="dxa"/>
              <w:left w:w="70" w:type="dxa"/>
              <w:right w:w="70" w:type="dxa"/>
            </w:tcMar>
          </w:tcPr>
          <w:p>
            <w:pPr>
              <w:spacing w:after="80"/>
            </w:pPr>
            <w:r>
              <w:t>Services</w:t>
            </w:r>
          </w:p>
        </w:tc>
        <w:tc>
          <w:tcPr>
            <w:tcW w:type="dxa" w:w="4320"/>
            <w:tcMar>
              <w:top w:w="70" w:type="dxa"/>
              <w:bottom w:w="70" w:type="dxa"/>
              <w:left w:w="70" w:type="dxa"/>
              <w:right w:w="70" w:type="dxa"/>
            </w:tcMar>
          </w:tcPr>
          <w:p>
            <w:pPr>
              <w:spacing w:after="80"/>
            </w:pPr>
            <w:r>
              <w:t>Add, edit, delete, publish and unpublish bilingual content and images.</w:t>
            </w:r>
          </w:p>
        </w:tc>
      </w:tr>
      <w:tr>
        <w:tc>
          <w:tcPr>
            <w:tcW w:type="dxa" w:w="4320"/>
            <w:tcMar>
              <w:top w:w="70" w:type="dxa"/>
              <w:bottom w:w="70" w:type="dxa"/>
              <w:left w:w="70" w:type="dxa"/>
              <w:right w:w="70" w:type="dxa"/>
            </w:tcMar>
          </w:tcPr>
          <w:p>
            <w:pPr>
              <w:spacing w:after="80"/>
            </w:pPr>
            <w:r>
              <w:t>Projects</w:t>
            </w:r>
          </w:p>
        </w:tc>
        <w:tc>
          <w:tcPr>
            <w:tcW w:type="dxa" w:w="4320"/>
            <w:tcMar>
              <w:top w:w="70" w:type="dxa"/>
              <w:bottom w:w="70" w:type="dxa"/>
              <w:left w:w="70" w:type="dxa"/>
              <w:right w:w="70" w:type="dxa"/>
            </w:tcMar>
          </w:tcPr>
          <w:p>
            <w:pPr>
              <w:spacing w:after="80"/>
            </w:pPr>
            <w:r>
              <w:t>Add, edit, delete, publish and unpublish bilingual details and image galleries.</w:t>
            </w:r>
          </w:p>
        </w:tc>
      </w:tr>
      <w:tr>
        <w:tc>
          <w:tcPr>
            <w:tcW w:type="dxa" w:w="4320"/>
            <w:tcMar>
              <w:top w:w="70" w:type="dxa"/>
              <w:bottom w:w="70" w:type="dxa"/>
              <w:left w:w="70" w:type="dxa"/>
              <w:right w:w="70" w:type="dxa"/>
            </w:tcMar>
          </w:tcPr>
          <w:p>
            <w:pPr>
              <w:spacing w:after="80"/>
            </w:pPr>
            <w:r>
              <w:t>Contact Information</w:t>
            </w:r>
          </w:p>
        </w:tc>
        <w:tc>
          <w:tcPr>
            <w:tcW w:type="dxa" w:w="4320"/>
            <w:tcMar>
              <w:top w:w="70" w:type="dxa"/>
              <w:bottom w:w="70" w:type="dxa"/>
              <w:left w:w="70" w:type="dxa"/>
              <w:right w:w="70" w:type="dxa"/>
            </w:tcMar>
          </w:tcPr>
          <w:p>
            <w:pPr>
              <w:spacing w:after="80"/>
            </w:pPr>
            <w:r>
              <w:t>Update phone numbers, email, WhatsApp, address and social media links.</w:t>
            </w:r>
          </w:p>
        </w:tc>
      </w:tr>
      <w:tr>
        <w:tc>
          <w:tcPr>
            <w:tcW w:type="dxa" w:w="4320"/>
            <w:tcMar>
              <w:top w:w="70" w:type="dxa"/>
              <w:bottom w:w="70" w:type="dxa"/>
              <w:left w:w="70" w:type="dxa"/>
              <w:right w:w="70" w:type="dxa"/>
            </w:tcMar>
          </w:tcPr>
          <w:p>
            <w:pPr>
              <w:spacing w:after="80"/>
            </w:pPr>
            <w:r>
              <w:t>Terms and Conditions</w:t>
            </w:r>
          </w:p>
        </w:tc>
        <w:tc>
          <w:tcPr>
            <w:tcW w:type="dxa" w:w="4320"/>
            <w:tcMar>
              <w:top w:w="70" w:type="dxa"/>
              <w:bottom w:w="70" w:type="dxa"/>
              <w:left w:w="70" w:type="dxa"/>
              <w:right w:w="70" w:type="dxa"/>
            </w:tcMar>
          </w:tcPr>
          <w:p>
            <w:pPr>
              <w:spacing w:after="80"/>
            </w:pPr>
            <w:r>
              <w:t>Edit Arabic and English page content.</w:t>
            </w:r>
          </w:p>
        </w:tc>
      </w:tr>
      <w:tr>
        <w:tc>
          <w:tcPr>
            <w:tcW w:type="dxa" w:w="4320"/>
            <w:tcMar>
              <w:top w:w="70" w:type="dxa"/>
              <w:bottom w:w="70" w:type="dxa"/>
              <w:left w:w="70" w:type="dxa"/>
              <w:right w:w="70" w:type="dxa"/>
            </w:tcMar>
          </w:tcPr>
          <w:p>
            <w:pPr>
              <w:spacing w:after="80"/>
            </w:pPr>
            <w:r>
              <w:t>Privacy Policy</w:t>
            </w:r>
          </w:p>
        </w:tc>
        <w:tc>
          <w:tcPr>
            <w:tcW w:type="dxa" w:w="4320"/>
            <w:tcMar>
              <w:top w:w="70" w:type="dxa"/>
              <w:bottom w:w="70" w:type="dxa"/>
              <w:left w:w="70" w:type="dxa"/>
              <w:right w:w="70" w:type="dxa"/>
            </w:tcMar>
          </w:tcPr>
          <w:p>
            <w:pPr>
              <w:spacing w:after="80"/>
            </w:pPr>
            <w:r>
              <w:t>Edit Arabic and English page content.</w:t>
            </w:r>
          </w:p>
        </w:tc>
      </w:tr>
      <w:tr>
        <w:tc>
          <w:tcPr>
            <w:tcW w:type="dxa" w:w="4320"/>
            <w:tcMar>
              <w:top w:w="70" w:type="dxa"/>
              <w:bottom w:w="70" w:type="dxa"/>
              <w:left w:w="70" w:type="dxa"/>
              <w:right w:w="70" w:type="dxa"/>
            </w:tcMar>
          </w:tcPr>
          <w:p>
            <w:pPr>
              <w:spacing w:after="80"/>
            </w:pPr>
            <w:r>
              <w:t>FAQs if included</w:t>
            </w:r>
          </w:p>
        </w:tc>
        <w:tc>
          <w:tcPr>
            <w:tcW w:type="dxa" w:w="4320"/>
            <w:tcMar>
              <w:top w:w="70" w:type="dxa"/>
              <w:bottom w:w="70" w:type="dxa"/>
              <w:left w:w="70" w:type="dxa"/>
              <w:right w:w="70" w:type="dxa"/>
            </w:tcMar>
          </w:tcPr>
          <w:p>
            <w:pPr>
              <w:spacing w:after="80"/>
            </w:pPr>
            <w:r>
              <w:t>Add, edit, delete and reorder bilingual questions and answers.</w:t>
            </w:r>
          </w:p>
        </w:tc>
      </w:tr>
    </w:tbl>
    <w:p>
      <w:r>
        <w:t>Includes database setup, content management APIs, admin authentication, input validation, image uploads, and contact form email integration. The dashboard includes one administrator role and one interface language, agreed at kickoff.</w:t>
      </w:r>
    </w:p>
    <w:p>
      <w:pPr>
        <w:pStyle w:val="Heading1"/>
        <w:keepNext/>
      </w:pPr>
      <w:r>
        <w:t>3 Content Setup</w:t>
      </w:r>
    </w:p>
    <w:p>
      <w:pPr>
        <w:pStyle w:val="ListBullet"/>
      </w:pPr>
      <w:r>
        <w:t>Home and About pages will use final client-supplied content.</w:t>
      </w:r>
    </w:p>
    <w:p>
      <w:pPr>
        <w:pStyle w:val="ListBullet"/>
      </w:pPr>
      <w:r>
        <w:t>Sample Services and Projects entries will demonstrate dashboard functionality. Demo content will be removed or replaced before public launch.</w:t>
      </w:r>
    </w:p>
    <w:p>
      <w:pPr>
        <w:pStyle w:val="ListBullet"/>
      </w:pPr>
      <w:r>
        <w:t>Bulk entry of final Services and Projects content is excluded. ROAA can manage these entries through the dashboard.</w:t>
      </w:r>
    </w:p>
    <w:p>
      <w:pPr>
        <w:pStyle w:val="ListBullet"/>
      </w:pPr>
      <w:r>
        <w:t>Legal policies and FAQs require client-supplied text.</w:t>
      </w:r>
    </w:p>
    <w:p>
      <w:pPr>
        <w:pStyle w:val="Heading1"/>
        <w:keepNext/>
      </w:pPr>
      <w:r>
        <w:t>4 Timeline</w:t>
      </w:r>
    </w:p>
    <w:p>
      <w:r>
        <w:t>Estimated delivery: 3 weeks.</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4320"/>
      </w:tblGrid>
      <w:tr>
        <w:tc>
          <w:tcPr>
            <w:tcW w:type="dxa" w:w="4320"/>
            <w:shd w:fill="E8EDF2"/>
            <w:tcMar>
              <w:top w:w="70" w:type="dxa"/>
              <w:bottom w:w="70" w:type="dxa"/>
              <w:left w:w="70" w:type="dxa"/>
              <w:right w:w="70" w:type="dxa"/>
            </w:tcMar>
          </w:tcPr>
          <w:p>
            <w:pPr>
              <w:spacing w:after="80"/>
            </w:pPr>
            <w:r>
              <w:rPr>
                <w:b/>
              </w:rPr>
              <w:t>Stage</w:t>
            </w:r>
          </w:p>
        </w:tc>
        <w:tc>
          <w:tcPr>
            <w:tcW w:type="dxa" w:w="4320"/>
            <w:shd w:fill="E8EDF2"/>
            <w:tcMar>
              <w:top w:w="70" w:type="dxa"/>
              <w:bottom w:w="70" w:type="dxa"/>
              <w:left w:w="70" w:type="dxa"/>
              <w:right w:w="70" w:type="dxa"/>
            </w:tcMar>
          </w:tcPr>
          <w:p>
            <w:pPr>
              <w:spacing w:after="80"/>
            </w:pPr>
            <w:r>
              <w:rPr>
                <w:b/>
              </w:rPr>
              <w:t>Planned work</w:t>
            </w:r>
          </w:p>
        </w:tc>
      </w:tr>
      <w:tr>
        <w:tc>
          <w:tcPr>
            <w:tcW w:type="dxa" w:w="4320"/>
            <w:tcMar>
              <w:top w:w="70" w:type="dxa"/>
              <w:bottom w:w="70" w:type="dxa"/>
              <w:left w:w="70" w:type="dxa"/>
              <w:right w:w="70" w:type="dxa"/>
            </w:tcMar>
          </w:tcPr>
          <w:p>
            <w:pPr>
              <w:spacing w:after="80"/>
            </w:pPr>
            <w:r>
              <w:t>Week 1</w:t>
            </w:r>
          </w:p>
        </w:tc>
        <w:tc>
          <w:tcPr>
            <w:tcW w:type="dxa" w:w="4320"/>
            <w:tcMar>
              <w:top w:w="70" w:type="dxa"/>
              <w:bottom w:w="70" w:type="dxa"/>
              <w:left w:w="70" w:type="dxa"/>
              <w:right w:w="70" w:type="dxa"/>
            </w:tcMar>
          </w:tcPr>
          <w:p>
            <w:pPr>
              <w:spacing w:after="80"/>
            </w:pPr>
            <w:r>
              <w:t>Project setup, layout review and main frontend implementation.</w:t>
            </w:r>
          </w:p>
        </w:tc>
      </w:tr>
      <w:tr>
        <w:tc>
          <w:tcPr>
            <w:tcW w:type="dxa" w:w="4320"/>
            <w:tcMar>
              <w:top w:w="70" w:type="dxa"/>
              <w:bottom w:w="70" w:type="dxa"/>
              <w:left w:w="70" w:type="dxa"/>
              <w:right w:w="70" w:type="dxa"/>
            </w:tcMar>
          </w:tcPr>
          <w:p>
            <w:pPr>
              <w:spacing w:after="80"/>
            </w:pPr>
            <w:r>
              <w:t>Week 2</w:t>
            </w:r>
          </w:p>
        </w:tc>
        <w:tc>
          <w:tcPr>
            <w:tcW w:type="dxa" w:w="4320"/>
            <w:tcMar>
              <w:top w:w="70" w:type="dxa"/>
              <w:bottom w:w="70" w:type="dxa"/>
              <w:left w:w="70" w:type="dxa"/>
              <w:right w:w="70" w:type="dxa"/>
            </w:tcMar>
          </w:tcPr>
          <w:p>
            <w:pPr>
              <w:spacing w:after="80"/>
            </w:pPr>
            <w:r>
              <w:t>Backend, dashboard and content management integration.</w:t>
            </w:r>
          </w:p>
        </w:tc>
      </w:tr>
      <w:tr>
        <w:tc>
          <w:tcPr>
            <w:tcW w:type="dxa" w:w="4320"/>
            <w:tcMar>
              <w:top w:w="70" w:type="dxa"/>
              <w:bottom w:w="70" w:type="dxa"/>
              <w:left w:w="70" w:type="dxa"/>
              <w:right w:w="70" w:type="dxa"/>
            </w:tcMar>
          </w:tcPr>
          <w:p>
            <w:pPr>
              <w:spacing w:after="80"/>
            </w:pPr>
            <w:r>
              <w:t>Week 3</w:t>
            </w:r>
          </w:p>
        </w:tc>
        <w:tc>
          <w:tcPr>
            <w:tcW w:type="dxa" w:w="4320"/>
            <w:tcMar>
              <w:top w:w="70" w:type="dxa"/>
              <w:bottom w:w="70" w:type="dxa"/>
              <w:left w:w="70" w:type="dxa"/>
              <w:right w:w="70" w:type="dxa"/>
            </w:tcMar>
          </w:tcPr>
          <w:p>
            <w:pPr>
              <w:spacing w:after="80"/>
            </w:pPr>
            <w:r>
              <w:t>Language and theme checks, testing, agreed revisions, deployment and walkthrough.</w:t>
            </w:r>
          </w:p>
        </w:tc>
      </w:tr>
    </w:tbl>
    <w:p>
      <w:r>
        <w:t>The timeline starts after receipt of the initial payment, required content, brand assets and access details. Consolidated feedback and approvals should be provided within two business days of each review request. Delayed inputs or changes to approved requirements may extend delivery.</w:t>
      </w:r>
    </w:p>
    <w:p>
      <w:pPr>
        <w:pStyle w:val="Heading1"/>
        <w:keepNext/>
      </w:pPr>
      <w:r>
        <w:t>5 Project Fee</w:t>
      </w:r>
    </w:p>
    <w:p>
      <w:r>
        <w:t>Total project fee: EGP 20,000.</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880"/>
        <w:gridCol w:w="2880"/>
      </w:tblGrid>
      <w:tr>
        <w:tc>
          <w:tcPr>
            <w:tcW w:type="dxa" w:w="2880"/>
            <w:shd w:fill="E8EDF2"/>
            <w:tcMar>
              <w:top w:w="70" w:type="dxa"/>
              <w:bottom w:w="70" w:type="dxa"/>
              <w:left w:w="70" w:type="dxa"/>
              <w:right w:w="70" w:type="dxa"/>
            </w:tcMar>
          </w:tcPr>
          <w:p>
            <w:pPr>
              <w:spacing w:after="80"/>
            </w:pPr>
            <w:r>
              <w:rPr>
                <w:b/>
              </w:rPr>
              <w:t>Payment milestone</w:t>
            </w:r>
          </w:p>
        </w:tc>
        <w:tc>
          <w:tcPr>
            <w:tcW w:type="dxa" w:w="2880"/>
            <w:shd w:fill="E8EDF2"/>
            <w:tcMar>
              <w:top w:w="70" w:type="dxa"/>
              <w:bottom w:w="70" w:type="dxa"/>
              <w:left w:w="70" w:type="dxa"/>
              <w:right w:w="70" w:type="dxa"/>
            </w:tcMar>
          </w:tcPr>
          <w:p>
            <w:pPr>
              <w:spacing w:after="80"/>
            </w:pPr>
            <w:r>
              <w:rPr>
                <w:b/>
              </w:rPr>
              <w:t>Percentage</w:t>
            </w:r>
          </w:p>
        </w:tc>
        <w:tc>
          <w:tcPr>
            <w:tcW w:type="dxa" w:w="2880"/>
            <w:shd w:fill="E8EDF2"/>
            <w:tcMar>
              <w:top w:w="70" w:type="dxa"/>
              <w:bottom w:w="70" w:type="dxa"/>
              <w:left w:w="70" w:type="dxa"/>
              <w:right w:w="70" w:type="dxa"/>
            </w:tcMar>
          </w:tcPr>
          <w:p>
            <w:pPr>
              <w:spacing w:after="80"/>
            </w:pPr>
            <w:r>
              <w:rPr>
                <w:b/>
              </w:rPr>
              <w:t>Amount</w:t>
            </w:r>
          </w:p>
        </w:tc>
      </w:tr>
      <w:tr>
        <w:tc>
          <w:tcPr>
            <w:tcW w:type="dxa" w:w="2880"/>
            <w:tcMar>
              <w:top w:w="70" w:type="dxa"/>
              <w:bottom w:w="70" w:type="dxa"/>
              <w:left w:w="70" w:type="dxa"/>
              <w:right w:w="70" w:type="dxa"/>
            </w:tcMar>
          </w:tcPr>
          <w:p>
            <w:pPr>
              <w:spacing w:after="80"/>
            </w:pPr>
            <w:r>
              <w:t>Confirmation and kickoff</w:t>
            </w:r>
          </w:p>
        </w:tc>
        <w:tc>
          <w:tcPr>
            <w:tcW w:type="dxa" w:w="2880"/>
            <w:tcMar>
              <w:top w:w="70" w:type="dxa"/>
              <w:bottom w:w="70" w:type="dxa"/>
              <w:left w:w="70" w:type="dxa"/>
              <w:right w:w="70" w:type="dxa"/>
            </w:tcMar>
          </w:tcPr>
          <w:p>
            <w:pPr>
              <w:spacing w:after="80"/>
            </w:pPr>
            <w:r>
              <w:t>50%</w:t>
            </w:r>
          </w:p>
        </w:tc>
        <w:tc>
          <w:tcPr>
            <w:tcW w:type="dxa" w:w="2880"/>
            <w:tcMar>
              <w:top w:w="70" w:type="dxa"/>
              <w:bottom w:w="70" w:type="dxa"/>
              <w:left w:w="70" w:type="dxa"/>
              <w:right w:w="70" w:type="dxa"/>
            </w:tcMar>
          </w:tcPr>
          <w:p>
            <w:pPr>
              <w:spacing w:after="80"/>
            </w:pPr>
            <w:r>
              <w:t>EGP 10,000</w:t>
            </w:r>
          </w:p>
        </w:tc>
      </w:tr>
      <w:tr>
        <w:tc>
          <w:tcPr>
            <w:tcW w:type="dxa" w:w="2880"/>
            <w:tcMar>
              <w:top w:w="70" w:type="dxa"/>
              <w:bottom w:w="70" w:type="dxa"/>
              <w:left w:w="70" w:type="dxa"/>
              <w:right w:w="70" w:type="dxa"/>
            </w:tcMar>
          </w:tcPr>
          <w:p>
            <w:pPr>
              <w:spacing w:after="80"/>
            </w:pPr>
            <w:r>
              <w:t>Completed implementation shared for review</w:t>
            </w:r>
          </w:p>
        </w:tc>
        <w:tc>
          <w:tcPr>
            <w:tcW w:type="dxa" w:w="2880"/>
            <w:tcMar>
              <w:top w:w="70" w:type="dxa"/>
              <w:bottom w:w="70" w:type="dxa"/>
              <w:left w:w="70" w:type="dxa"/>
              <w:right w:w="70" w:type="dxa"/>
            </w:tcMar>
          </w:tcPr>
          <w:p>
            <w:pPr>
              <w:spacing w:after="80"/>
            </w:pPr>
            <w:r>
              <w:t>30%</w:t>
            </w:r>
          </w:p>
        </w:tc>
        <w:tc>
          <w:tcPr>
            <w:tcW w:type="dxa" w:w="2880"/>
            <w:tcMar>
              <w:top w:w="70" w:type="dxa"/>
              <w:bottom w:w="70" w:type="dxa"/>
              <w:left w:w="70" w:type="dxa"/>
              <w:right w:w="70" w:type="dxa"/>
            </w:tcMar>
          </w:tcPr>
          <w:p>
            <w:pPr>
              <w:spacing w:after="80"/>
            </w:pPr>
            <w:r>
              <w:t>EGP 6,000</w:t>
            </w:r>
          </w:p>
        </w:tc>
      </w:tr>
      <w:tr>
        <w:tc>
          <w:tcPr>
            <w:tcW w:type="dxa" w:w="2880"/>
            <w:tcMar>
              <w:top w:w="70" w:type="dxa"/>
              <w:bottom w:w="70" w:type="dxa"/>
              <w:left w:w="70" w:type="dxa"/>
              <w:right w:w="70" w:type="dxa"/>
            </w:tcMar>
          </w:tcPr>
          <w:p>
            <w:pPr>
              <w:spacing w:after="80"/>
            </w:pPr>
            <w:r>
              <w:t>Final review completed, before launch and source code handover</w:t>
            </w:r>
          </w:p>
        </w:tc>
        <w:tc>
          <w:tcPr>
            <w:tcW w:type="dxa" w:w="2880"/>
            <w:tcMar>
              <w:top w:w="70" w:type="dxa"/>
              <w:bottom w:w="70" w:type="dxa"/>
              <w:left w:w="70" w:type="dxa"/>
              <w:right w:w="70" w:type="dxa"/>
            </w:tcMar>
          </w:tcPr>
          <w:p>
            <w:pPr>
              <w:spacing w:after="80"/>
            </w:pPr>
            <w:r>
              <w:t>20%</w:t>
            </w:r>
          </w:p>
        </w:tc>
        <w:tc>
          <w:tcPr>
            <w:tcW w:type="dxa" w:w="2880"/>
            <w:tcMar>
              <w:top w:w="70" w:type="dxa"/>
              <w:bottom w:w="70" w:type="dxa"/>
              <w:left w:w="70" w:type="dxa"/>
              <w:right w:w="70" w:type="dxa"/>
            </w:tcMar>
          </w:tcPr>
          <w:p>
            <w:pPr>
              <w:spacing w:after="80"/>
            </w:pPr>
            <w:r>
              <w:t>EGP 4,000</w:t>
            </w:r>
          </w:p>
        </w:tc>
      </w:tr>
    </w:tbl>
    <w:p>
      <w:r>
        <w:t>Third-party costs are excluded. Any applicable taxes will be confirmed before project acceptance.</w:t>
      </w:r>
    </w:p>
    <w:p>
      <w:pPr>
        <w:pStyle w:val="Heading1"/>
        <w:keepNext/>
      </w:pPr>
      <w:r>
        <w:t>6 Revisions and Support</w:t>
      </w:r>
    </w:p>
    <w:p>
      <w:pPr>
        <w:pStyle w:val="ListBullet"/>
      </w:pPr>
      <w:r>
        <w:t>Two consolidated revision rounds for layout and presentation adjustments within the agreed scope.</w:t>
      </w:r>
    </w:p>
    <w:p>
      <w:pPr>
        <w:pStyle w:val="ListBullet"/>
      </w:pPr>
      <w:r>
        <w:t>New features, additional pages and changes to approved functionality will be quoted separately.</w:t>
      </w:r>
    </w:p>
    <w:p>
      <w:pPr>
        <w:pStyle w:val="ListBullet"/>
      </w:pPr>
      <w:r>
        <w:t>14 days of post-launch support to correct defects related to the delivered implementation.</w:t>
      </w:r>
    </w:p>
    <w:p>
      <w:pPr>
        <w:pStyle w:val="ListBullet"/>
      </w:pPr>
      <w:r>
        <w:t>Ongoing maintenance and content updates are excluded.</w:t>
      </w:r>
    </w:p>
    <w:p>
      <w:pPr>
        <w:pStyle w:val="Heading1"/>
        <w:keepNext/>
      </w:pPr>
      <w:r>
        <w:t>7 Client Responsibilities</w:t>
      </w:r>
    </w:p>
    <w:p>
      <w:pPr>
        <w:pStyle w:val="ListBullet"/>
      </w:pPr>
      <w:r>
        <w:t>Provide brand guidelines, logo files, fonts and approved visual assets.</w:t>
      </w:r>
    </w:p>
    <w:p>
      <w:pPr>
        <w:pStyle w:val="ListBullet"/>
      </w:pPr>
      <w:r>
        <w:t>Provide final Arabic and English content, project photographs and service images approved for publication.</w:t>
      </w:r>
    </w:p>
    <w:p>
      <w:pPr>
        <w:pStyle w:val="ListBullet"/>
      </w:pPr>
      <w:r>
        <w:t>Provide legal policy text, FAQs if applicable, contact details and inquiry recipient email.</w:t>
      </w:r>
    </w:p>
    <w:p>
      <w:pPr>
        <w:pStyle w:val="ListBullet"/>
      </w:pPr>
      <w:r>
        <w:t>Provide domain, hosting and email service access.</w:t>
      </w:r>
    </w:p>
    <w:p>
      <w:pPr>
        <w:pStyle w:val="ListBullet"/>
      </w:pPr>
      <w:r>
        <w:t>Designate one contact for consolidated feedback and approvals.</w:t>
      </w:r>
    </w:p>
    <w:p>
      <w:pPr>
        <w:pStyle w:val="Heading1"/>
        <w:keepNext/>
      </w:pPr>
      <w:r>
        <w:t>8 Scope Boundaries</w:t>
      </w:r>
    </w:p>
    <w:p>
      <w:pPr>
        <w:pStyle w:val="ListBullet"/>
      </w:pPr>
      <w:r>
        <w:t>Dashboard management is limited to the listed modules. Home and About content changes require developer updates.</w:t>
      </w:r>
    </w:p>
    <w:p>
      <w:pPr>
        <w:pStyle w:val="ListBullet"/>
      </w:pPr>
      <w:r>
        <w:t>Light and Dark themes apply to the public website; dashboard theme switching is excluded.</w:t>
      </w:r>
    </w:p>
    <w:p>
      <w:pPr>
        <w:pStyle w:val="ListBullet"/>
      </w:pPr>
      <w:r>
        <w:t>Contact inquiries are sent by email; dashboard inquiry storage and history are excluded.</w:t>
      </w:r>
    </w:p>
    <w:p>
      <w:pPr>
        <w:pStyle w:val="ListBullet"/>
      </w:pPr>
      <w:r>
        <w:t>Branding, translation, copywriting, photography and legal drafting are excluded.</w:t>
      </w:r>
    </w:p>
    <w:p>
      <w:pPr>
        <w:pStyle w:val="ListBullet"/>
      </w:pPr>
      <w:r>
        <w:t>Domain, hosting, paid fonts, licenses and email service subscriptions are excluded.</w:t>
      </w:r>
    </w:p>
    <w:p>
      <w:pPr>
        <w:pStyle w:val="ListBullet"/>
      </w:pPr>
      <w:r>
        <w:t>Client accounts, advanced roles, CRM integrations, quotation calculators and advanced animations are excluded.</w:t>
      </w:r>
    </w:p>
    <w:p>
      <w:pPr>
        <w:pStyle w:val="ListBullet"/>
      </w:pPr>
      <w:r>
        <w:t>Additional requirements will be assessed and quoted before implementation.</w:t>
      </w:r>
    </w:p>
    <w:p>
      <w:pPr>
        <w:pStyle w:val="Heading1"/>
        <w:keepNext/>
      </w:pPr>
      <w:r>
        <w:t>9 Delivery and Handover</w:t>
      </w:r>
    </w:p>
    <w:p>
      <w:pPr>
        <w:pStyle w:val="ListBullet"/>
      </w:pPr>
      <w:r>
        <w:t>Deploy to the agreed hosting environment, connect the domain and configure HTTPS where supported.</w:t>
      </w:r>
    </w:p>
    <w:p>
      <w:pPr>
        <w:pStyle w:val="ListBullet"/>
      </w:pPr>
      <w:r>
        <w:t>Provide source code and relevant database setup files upon full payment.</w:t>
      </w:r>
    </w:p>
    <w:p>
      <w:pPr>
        <w:pStyle w:val="ListBullet"/>
      </w:pPr>
      <w:r>
        <w:t>Provide administrator access and a Zoom walkthrough of content management.</w:t>
      </w:r>
    </w:p>
    <w:p>
      <w:pPr>
        <w:pStyle w:val="Heading1"/>
        <w:keepNext/>
      </w:pPr>
      <w:r>
        <w:t>Project Confirmation</w:t>
      </w:r>
    </w:p>
    <w:p>
      <w:r>
        <w:t>Please confirm acceptance by email or WhatsApp. The start date will be agreed after confirmation and receipt of the initial payment and required materials.</w:t>
      </w:r>
    </w:p>
    <w:p>
      <w:r>
        <w:t>Nesma Elsafty</w:t>
        <w:br/>
        <w:t>Freelance Developer</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