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
          <w:szCs w:val="2"/>
        </w:rPr>
        <w:t xml:space="preserve"/>
      </w:r>
    </w:p>
    <w:p>
      <w:pPr>
        <w:spacing w:after="0" w:before="800"/>
      </w:pPr>
      <w:r>
        <w:t xml:space="preserve"/>
      </w:r>
    </w:p>
    <w:p>
      <w:pPr>
        <w:spacing w:after="80" w:before="0"/>
        <w:jc w:val="left"/>
      </w:pPr>
      <w:r>
        <w:rPr>
          <w:rFonts w:ascii="Georgia" w:cs="Georgia" w:eastAsia="Georgia" w:hAnsi="Georgia"/>
          <w:b/>
          <w:bCs/>
          <w:color w:val="1E2761"/>
          <w:sz w:val="72"/>
          <w:szCs w:val="72"/>
        </w:rPr>
        <w:t xml:space="preserve">VenturePilot</w:t>
      </w:r>
    </w:p>
    <w:p>
      <w:pPr>
        <w:spacing w:after="280" w:before="0"/>
        <w:jc w:val="left"/>
      </w:pPr>
      <w:r>
        <w:rPr>
          <w:rFonts w:ascii="Arial" w:cs="Arial" w:eastAsia="Arial" w:hAnsi="Arial"/>
          <w:color w:val="3A6EDC"/>
          <w:sz w:val="26"/>
          <w:szCs w:val="26"/>
        </w:rPr>
        <w:t xml:space="preserve">The AI co-pilot that turns startup metrics into investor-ready documents</w:t>
      </w:r>
    </w:p>
    <w:p>
      <w:pPr>
        <w:spacing w:after="80" w:before="0"/>
        <w:jc w:val="left"/>
      </w:pPr>
      <w:r>
        <w:rPr>
          <w:rFonts w:ascii="Arial" w:cs="Arial" w:eastAsia="Arial" w:hAnsi="Arial"/>
          <w:b/>
          <w:bCs/>
          <w:color w:val="667799"/>
          <w:sz w:val="20"/>
          <w:szCs w:val="20"/>
        </w:rPr>
        <w:t xml:space="preserve">PRODUCT OVERVIEW  ·  PRE-LAUNCH  ·  </w:t>
      </w:r>
      <w:r>
        <w:rPr>
          <w:rFonts w:ascii="Arial" w:cs="Arial" w:eastAsia="Arial" w:hAnsi="Arial"/>
          <w:b/>
          <w:bCs/>
          <w:color w:val="667799"/>
          <w:sz w:val="20"/>
          <w:szCs w:val="20"/>
        </w:rPr>
        <w:t xml:space="preserve">March 2026</w:t>
      </w:r>
    </w:p>
    <w:p>
      <w:pPr>
        <w:spacing w:after="40" w:before="0"/>
        <w:jc w:val="left"/>
      </w:pPr>
      <w:r>
        <w:rPr>
          <w:rFonts w:ascii="Arial" w:cs="Arial" w:eastAsia="Arial" w:hAnsi="Arial"/>
          <w:color w:val="667799"/>
          <w:sz w:val="20"/>
          <w:szCs w:val="20"/>
        </w:rPr>
        <w:t xml:space="preserve">Presented by  </w:t>
      </w:r>
      <w:r>
        <w:rPr>
          <w:rFonts w:ascii="Arial" w:cs="Arial" w:eastAsia="Arial" w:hAnsi="Arial"/>
          <w:b/>
          <w:bCs/>
          <w:color w:val="1E2761"/>
          <w:sz w:val="20"/>
          <w:szCs w:val="20"/>
        </w:rPr>
        <w:t xml:space="preserve">Ness Gelman &amp; Joseph</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2FF" w:val="clear"/>
            <w:tcMar>
              <w:top w:type="dxa" w:w="100"/>
              <w:left w:type="dxa" w:w="120"/>
              <w:bottom w:type="dxa" w:w="100"/>
              <w:right w:type="dxa" w:w="120"/>
            </w:tcMar>
            <w:vAlign w:val="center"/>
          </w:tcPr>
          <w:p>
            <w:pPr>
              <w:spacing w:after="0" w:before="0"/>
              <w:jc w:val="center"/>
            </w:pPr>
            <w:r>
              <w:rPr>
                <w:rFonts w:ascii="Arial" w:cs="Arial" w:eastAsia="Arial" w:hAnsi="Arial"/>
                <w:b/>
                <w:bCs/>
                <w:color w:val="3A6EDC"/>
                <w:sz w:val="32"/>
                <w:szCs w:val="32"/>
              </w:rPr>
              <w:t xml:space="preserve">Pre-Revenue</w:t>
            </w:r>
          </w:p>
          <w:p>
            <w:pPr>
              <w:spacing w:after="0" w:before="0"/>
              <w:jc w:val="center"/>
            </w:pPr>
            <w:r>
              <w:rPr>
                <w:rFonts w:ascii="Arial" w:cs="Arial" w:eastAsia="Arial" w:hAnsi="Arial"/>
                <w:color w:val="667799"/>
                <w:sz w:val="16"/>
                <w:szCs w:val="16"/>
              </w:rPr>
              <w:t xml:space="preserve">Stage</w:t>
            </w:r>
          </w:p>
        </w:tc>
        <w:tc>
          <w:tcPr>
            <w:tcW w:type="dxa" w:w="2340"/>
            <w:tcBorders>
              <w:top w:val="none" w:color="FFFFFF" w:sz="0"/>
              <w:left w:val="none" w:color="FFFFFF" w:sz="0"/>
              <w:bottom w:val="none" w:color="FFFFFF" w:sz="0"/>
              <w:right w:val="none" w:color="FFFFFF" w:sz="0"/>
            </w:tcBorders>
            <w:shd w:fill="EEF2FF" w:val="clear"/>
            <w:tcMar>
              <w:top w:type="dxa" w:w="100"/>
              <w:left w:type="dxa" w:w="120"/>
              <w:bottom w:type="dxa" w:w="100"/>
              <w:right w:type="dxa" w:w="120"/>
            </w:tcMar>
            <w:vAlign w:val="center"/>
          </w:tcPr>
          <w:p>
            <w:pPr>
              <w:spacing w:after="0" w:before="0"/>
              <w:jc w:val="center"/>
            </w:pPr>
            <w:r>
              <w:rPr>
                <w:rFonts w:ascii="Arial" w:cs="Arial" w:eastAsia="Arial" w:hAnsi="Arial"/>
                <w:b/>
                <w:bCs/>
                <w:color w:val="3A6EDC"/>
                <w:sz w:val="32"/>
                <w:szCs w:val="32"/>
              </w:rPr>
              <w:t xml:space="preserve">MVP Complete</w:t>
            </w:r>
          </w:p>
          <w:p>
            <w:pPr>
              <w:spacing w:after="0" w:before="0"/>
              <w:jc w:val="center"/>
            </w:pPr>
            <w:r>
              <w:rPr>
                <w:rFonts w:ascii="Arial" w:cs="Arial" w:eastAsia="Arial" w:hAnsi="Arial"/>
                <w:color w:val="667799"/>
                <w:sz w:val="16"/>
                <w:szCs w:val="16"/>
              </w:rPr>
              <w:t xml:space="preserve">Product Status</w:t>
            </w:r>
          </w:p>
        </w:tc>
        <w:tc>
          <w:tcPr>
            <w:tcW w:type="dxa" w:w="2340"/>
            <w:tcBorders>
              <w:top w:val="none" w:color="FFFFFF" w:sz="0"/>
              <w:left w:val="none" w:color="FFFFFF" w:sz="0"/>
              <w:bottom w:val="none" w:color="FFFFFF" w:sz="0"/>
              <w:right w:val="none" w:color="FFFFFF" w:sz="0"/>
            </w:tcBorders>
            <w:shd w:fill="EEF2FF" w:val="clear"/>
            <w:tcMar>
              <w:top w:type="dxa" w:w="100"/>
              <w:left w:type="dxa" w:w="120"/>
              <w:bottom w:type="dxa" w:w="100"/>
              <w:right w:type="dxa" w:w="120"/>
            </w:tcMar>
            <w:vAlign w:val="center"/>
          </w:tcPr>
          <w:p>
            <w:pPr>
              <w:spacing w:after="0" w:before="0"/>
              <w:jc w:val="center"/>
            </w:pPr>
            <w:r>
              <w:rPr>
                <w:rFonts w:ascii="Arial" w:cs="Arial" w:eastAsia="Arial" w:hAnsi="Arial"/>
                <w:b/>
                <w:bCs/>
                <w:color w:val="3A6EDC"/>
                <w:sz w:val="32"/>
                <w:szCs w:val="32"/>
              </w:rPr>
              <w:t xml:space="preserve">Q2 2026</w:t>
            </w:r>
          </w:p>
          <w:p>
            <w:pPr>
              <w:spacing w:after="0" w:before="0"/>
              <w:jc w:val="center"/>
            </w:pPr>
            <w:r>
              <w:rPr>
                <w:rFonts w:ascii="Arial" w:cs="Arial" w:eastAsia="Arial" w:hAnsi="Arial"/>
                <w:color w:val="667799"/>
                <w:sz w:val="16"/>
                <w:szCs w:val="16"/>
              </w:rPr>
              <w:t xml:space="preserve">Target Launch</w:t>
            </w:r>
          </w:p>
        </w:tc>
        <w:tc>
          <w:tcPr>
            <w:tcW w:type="dxa" w:w="2340"/>
            <w:tcBorders>
              <w:top w:val="none" w:color="FFFFFF" w:sz="0"/>
              <w:left w:val="none" w:color="FFFFFF" w:sz="0"/>
              <w:bottom w:val="none" w:color="FFFFFF" w:sz="0"/>
              <w:right w:val="none" w:color="FFFFFF" w:sz="0"/>
            </w:tcBorders>
            <w:shd w:fill="EEF2FF" w:val="clear"/>
            <w:tcMar>
              <w:top w:type="dxa" w:w="100"/>
              <w:left w:type="dxa" w:w="120"/>
              <w:bottom w:type="dxa" w:w="100"/>
              <w:right w:type="dxa" w:w="120"/>
            </w:tcMar>
            <w:vAlign w:val="center"/>
          </w:tcPr>
          <w:p>
            <w:pPr>
              <w:spacing w:after="0" w:before="0"/>
              <w:jc w:val="center"/>
            </w:pPr>
            <w:r>
              <w:rPr>
                <w:rFonts w:ascii="Arial" w:cs="Arial" w:eastAsia="Arial" w:hAnsi="Arial"/>
                <w:b/>
                <w:bCs/>
                <w:color w:val="3A6EDC"/>
                <w:sz w:val="32"/>
                <w:szCs w:val="32"/>
              </w:rPr>
              <w:t xml:space="preserve">Ness Gelman &amp; Joseph</w:t>
            </w:r>
          </w:p>
          <w:p>
            <w:pPr>
              <w:spacing w:after="0" w:before="0"/>
              <w:jc w:val="center"/>
            </w:pPr>
            <w:r>
              <w:rPr>
                <w:rFonts w:ascii="Arial" w:cs="Arial" w:eastAsia="Arial" w:hAnsi="Arial"/>
                <w:color w:val="667799"/>
                <w:sz w:val="16"/>
                <w:szCs w:val="16"/>
              </w:rPr>
              <w:t xml:space="preserve">Team</w:t>
            </w:r>
          </w:p>
        </w:tc>
      </w:tr>
    </w:tbl>
    <w:p>
      <w:r>
        <w:br w:type="page"/>
      </w:r>
    </w:p>
    <w:p>
      <w:pPr>
        <w:pStyle w:val="Heading1"/>
        <w:pBdr>
          <w:bottom w:val="single" w:color="3A6EDC" w:sz="4" w:space="6"/>
        </w:pBdr>
        <w:spacing w:after="160" w:before="360"/>
      </w:pPr>
      <w:r>
        <w:rPr>
          <w:rFonts w:ascii="Arial" w:cs="Arial" w:eastAsia="Arial" w:hAnsi="Arial"/>
          <w:b/>
          <w:bCs/>
          <w:color w:val="1E2761"/>
          <w:sz w:val="36"/>
          <w:szCs w:val="36"/>
        </w:rPr>
        <w:t xml:space="preserve">1. Executive Summary</w:t>
      </w:r>
    </w:p>
    <w:p>
      <w:pPr>
        <w:pStyle w:val="Heading2"/>
        <w:spacing w:after="120" w:before="280"/>
      </w:pPr>
      <w:r>
        <w:rPr>
          <w:rFonts w:ascii="Arial" w:cs="Arial" w:eastAsia="Arial" w:hAnsi="Arial"/>
          <w:b/>
          <w:bCs/>
          <w:color w:val="1E2761"/>
          <w:sz w:val="28"/>
          <w:szCs w:val="28"/>
        </w:rPr>
        <w:t xml:space="preserve">The Company</w:t>
      </w:r>
    </w:p>
    <w:p>
      <w:pPr>
        <w:spacing w:after="100" w:before="60"/>
      </w:pPr>
      <w:r>
        <w:rPr>
          <w:rFonts w:ascii="Arial" w:cs="Arial" w:eastAsia="Arial" w:hAnsi="Arial"/>
          <w:color w:val="222244"/>
          <w:sz w:val="22"/>
          <w:szCs w:val="22"/>
        </w:rPr>
        <w:t xml:space="preserve">VenturePilot is a B2B SaaS platform that automates the fundraising preparation workflow for early-stage startups. Founders enter their metrics once, and the platform auto-generates every document they need — pitch decks, business plans, monthly investor updates, and valuation models — in real time, updated automatically as their numbers change.</w:t>
      </w:r>
    </w:p>
    <w:p>
      <w:pPr>
        <w:spacing w:after="100" w:before="60"/>
      </w:pPr>
      <w:r>
        <w:rPr>
          <w:rFonts w:ascii="Arial" w:cs="Arial" w:eastAsia="Arial" w:hAnsi="Arial"/>
          <w:color w:val="222244"/>
          <w:sz w:val="22"/>
          <w:szCs w:val="22"/>
        </w:rPr>
        <w:t xml:space="preserve">The company was co-founded by Ness Gelman and Joseph, both of whom experienced this problem firsthand as founders. Together, they spent the past year researching the market, designing the solution, and building a complete MVP. The product is pre-public and launching Q2 2026. The team is now building early support and looking for the first users.</w:t>
      </w:r>
    </w:p>
    <w:p>
      <w:pPr>
        <w:pStyle w:val="Heading2"/>
        <w:spacing w:after="120" w:before="280"/>
      </w:pPr>
      <w:r>
        <w:rPr>
          <w:rFonts w:ascii="Arial" w:cs="Arial" w:eastAsia="Arial" w:hAnsi="Arial"/>
          <w:b/>
          <w:bCs/>
          <w:color w:val="1E2761"/>
          <w:sz w:val="28"/>
          <w:szCs w:val="28"/>
        </w:rPr>
        <w:t xml:space="preserve">The Problem</w:t>
      </w:r>
    </w:p>
    <w:p>
      <w:pPr>
        <w:spacing w:after="100" w:before="60"/>
      </w:pPr>
      <w:r>
        <w:rPr>
          <w:rFonts w:ascii="Arial" w:cs="Arial" w:eastAsia="Arial" w:hAnsi="Arial"/>
          <w:color w:val="222244"/>
          <w:sz w:val="22"/>
          <w:szCs w:val="22"/>
        </w:rPr>
        <w:t xml:space="preserve">Founders spend more than 40 hours preparing for each fundraise cycle — manually copying financial data into Notion pages, Google Sheets, and slide decks that immediately become stale. Three disconnected tools produce three inconsistent narratives. Monthly investor updates get skipped because writing them takes hours a founder doesn't have. The tools that exist were built for accountants and designers, not for the founder who needs to tell a coherent, data-grounded story under time pressure.</w:t>
      </w:r>
    </w:p>
    <w:p>
      <w:pPr>
        <w:pStyle w:val="Heading2"/>
        <w:spacing w:after="120" w:before="280"/>
      </w:pPr>
      <w:r>
        <w:rPr>
          <w:rFonts w:ascii="Arial" w:cs="Arial" w:eastAsia="Arial" w:hAnsi="Arial"/>
          <w:b/>
          <w:bCs/>
          <w:color w:val="1E2761"/>
          <w:sz w:val="28"/>
          <w:szCs w:val="28"/>
        </w:rPr>
        <w:t xml:space="preserve">The Solution</w:t>
      </w:r>
    </w:p>
    <w:p>
      <w:pPr>
        <w:spacing w:after="100" w:before="60"/>
      </w:pPr>
      <w:r>
        <w:rPr>
          <w:rFonts w:ascii="Arial" w:cs="Arial" w:eastAsia="Arial" w:hAnsi="Arial"/>
          <w:color w:val="222244"/>
          <w:sz w:val="22"/>
          <w:szCs w:val="22"/>
        </w:rPr>
        <w:t xml:space="preserve">VenturePilot connects directly to a founder's metrics through a simple onboarding flow and becomes the single source of truth for every fundraise document. The pitch deck updates when the numbers change. The business plan narrative is AI-generated from the live data. The investor update is drafted in seconds. The valuation model responds to every input in real time. One platform, zero formatting time, every document always current.</w:t>
      </w:r>
    </w:p>
    <w:p>
      <w:pPr>
        <w:pStyle w:val="Heading2"/>
        <w:spacing w:after="120" w:before="280"/>
      </w:pPr>
      <w:r>
        <w:rPr>
          <w:rFonts w:ascii="Arial" w:cs="Arial" w:eastAsia="Arial" w:hAnsi="Arial"/>
          <w:b/>
          <w:bCs/>
          <w:color w:val="1E2761"/>
          <w:sz w:val="28"/>
          <w:szCs w:val="28"/>
        </w:rPr>
        <w:t xml:space="preserve">Problem Validation</w:t>
      </w:r>
    </w:p>
    <w:p>
      <w:pPr>
        <w:spacing w:after="100" w:before="60"/>
      </w:pPr>
      <w:r>
        <w:rPr>
          <w:rFonts w:ascii="Arial" w:cs="Arial" w:eastAsia="Arial" w:hAnsi="Arial"/>
          <w:color w:val="222244"/>
          <w:sz w:val="22"/>
          <w:szCs w:val="22"/>
        </w:rPr>
        <w:t xml:space="preserve">The founders validated the problem through deep market research before writing a line of code:</w:t>
      </w:r>
    </w:p>
    <w:p>
      <w:pPr>
        <w:pStyle w:val="ListParagraph"/>
        <w:numPr>
          <w:ilvl w:val="0"/>
          <w:numId w:val="2"/>
        </w:numPr>
        <w:spacing w:after="40" w:before="40"/>
      </w:pPr>
      <w:r>
        <w:rPr>
          <w:rFonts w:ascii="Arial" w:cs="Arial" w:eastAsia="Arial" w:hAnsi="Arial"/>
          <w:b w:val="false"/>
          <w:bCs w:val="false"/>
          <w:color w:val="222244"/>
          <w:sz w:val="22"/>
          <w:szCs w:val="22"/>
        </w:rPr>
        <w:t xml:space="preserve">Problem mapped across three ICP segments: pre-seed founders preparing for a first raise, seed-stage teams managing ongoing investor relations, and accelerator cohorts heading into demo day</w:t>
      </w:r>
    </w:p>
    <w:p>
      <w:pPr>
        <w:pStyle w:val="ListParagraph"/>
        <w:numPr>
          <w:ilvl w:val="0"/>
          <w:numId w:val="2"/>
        </w:numPr>
        <w:spacing w:after="40" w:before="40"/>
      </w:pPr>
      <w:r>
        <w:rPr>
          <w:rFonts w:ascii="Arial" w:cs="Arial" w:eastAsia="Arial" w:hAnsi="Arial"/>
          <w:b w:val="false"/>
          <w:bCs w:val="false"/>
          <w:color w:val="222244"/>
          <w:sz w:val="22"/>
          <w:szCs w:val="22"/>
        </w:rPr>
        <w:t xml:space="preserve">Problem is universal and stage-agnostic: first-time and repeat founders alike face the same workflow friction</w:t>
      </w:r>
    </w:p>
    <w:p>
      <w:pPr>
        <w:pStyle w:val="ListParagraph"/>
        <w:numPr>
          <w:ilvl w:val="0"/>
          <w:numId w:val="2"/>
        </w:numPr>
        <w:spacing w:after="40" w:before="40"/>
      </w:pPr>
      <w:r>
        <w:rPr>
          <w:rFonts w:ascii="Arial" w:cs="Arial" w:eastAsia="Arial" w:hAnsi="Arial"/>
          <w:b w:val="false"/>
          <w:bCs w:val="false"/>
          <w:color w:val="222244"/>
          <w:sz w:val="22"/>
          <w:szCs w:val="22"/>
        </w:rPr>
        <w:t xml:space="preserve">No existing tool addresses the full workflow — the market is served by disconnected point solutions that do not talk to each other</w:t>
      </w:r>
    </w:p>
    <w:p>
      <w:pPr>
        <w:pStyle w:val="ListParagraph"/>
        <w:numPr>
          <w:ilvl w:val="0"/>
          <w:numId w:val="2"/>
        </w:numPr>
        <w:spacing w:after="40" w:before="40"/>
      </w:pPr>
      <w:r>
        <w:rPr>
          <w:rFonts w:ascii="Arial" w:cs="Arial" w:eastAsia="Arial" w:hAnsi="Arial"/>
          <w:b w:val="false"/>
          <w:bCs w:val="false"/>
          <w:color w:val="222244"/>
          <w:sz w:val="22"/>
          <w:szCs w:val="22"/>
        </w:rPr>
        <w:t xml:space="preserve">MVP fully built — all 8 modules operational, onboarding flow complete, pre-public release</w:t>
      </w:r>
    </w:p>
    <w:p>
      <w:pPr>
        <w:pStyle w:val="ListParagraph"/>
        <w:numPr>
          <w:ilvl w:val="0"/>
          <w:numId w:val="2"/>
        </w:numPr>
        <w:spacing w:after="40" w:before="40"/>
      </w:pPr>
      <w:r>
        <w:rPr>
          <w:rFonts w:ascii="Arial" w:cs="Arial" w:eastAsia="Arial" w:hAnsi="Arial"/>
          <w:b w:val="false"/>
          <w:bCs w:val="false"/>
          <w:color w:val="222244"/>
          <w:sz w:val="22"/>
          <w:szCs w:val="22"/>
        </w:rPr>
        <w:t xml:space="preserve">Active conversations with two accelerator programs as first distribution partners</w:t>
      </w:r>
    </w:p>
    <w:p>
      <w:pPr>
        <w:pStyle w:val="Heading2"/>
        <w:spacing w:after="120" w:before="280"/>
      </w:pPr>
      <w:r>
        <w:rPr>
          <w:rFonts w:ascii="Arial" w:cs="Arial" w:eastAsia="Arial" w:hAnsi="Arial"/>
          <w:b/>
          <w:bCs/>
          <w:color w:val="1E2761"/>
          <w:sz w:val="28"/>
          <w:szCs w:val="28"/>
        </w:rPr>
        <w:t xml:space="preserve">How to Get Involved</w:t>
      </w:r>
    </w:p>
    <w:p>
      <w:pPr>
        <w:spacing w:after="100" w:before="60"/>
      </w:pPr>
      <w:r>
        <w:rPr>
          <w:rFonts w:ascii="Arial" w:cs="Arial" w:eastAsia="Arial" w:hAnsi="Arial"/>
          <w:color w:val="222244"/>
          <w:sz w:val="22"/>
          <w:szCs w:val="22"/>
        </w:rPr>
        <w:t xml:space="preserve">VenturePilot is looking for early supporters ahead of its public launch. The team wants to put the product in front of founders who can give real feedback, connect them with accelerator programs looking for tools to offer their cohorts, and help spread the word within founder communities. This is the ground floor — before the public launch, before growth, and before any formal raise.</w:t>
      </w:r>
    </w:p>
    <w:p>
      <w:r>
        <w:br w:type="page"/>
      </w:r>
    </w:p>
    <w:p>
      <w:pPr>
        <w:pStyle w:val="Heading1"/>
        <w:pBdr>
          <w:bottom w:val="single" w:color="3A6EDC" w:sz="4" w:space="6"/>
        </w:pBdr>
        <w:spacing w:after="160" w:before="360"/>
      </w:pPr>
      <w:r>
        <w:rPr>
          <w:rFonts w:ascii="Arial" w:cs="Arial" w:eastAsia="Arial" w:hAnsi="Arial"/>
          <w:b/>
          <w:bCs/>
          <w:color w:val="1E2761"/>
          <w:sz w:val="36"/>
          <w:szCs w:val="36"/>
        </w:rPr>
        <w:t xml:space="preserve">2. Market Analysis</w:t>
      </w:r>
    </w:p>
    <w:p>
      <w:pPr>
        <w:pStyle w:val="Heading2"/>
        <w:spacing w:after="120" w:before="280"/>
      </w:pPr>
      <w:r>
        <w:rPr>
          <w:rFonts w:ascii="Arial" w:cs="Arial" w:eastAsia="Arial" w:hAnsi="Arial"/>
          <w:b/>
          <w:bCs/>
          <w:color w:val="1E2761"/>
          <w:sz w:val="28"/>
          <w:szCs w:val="28"/>
        </w:rPr>
        <w:t xml:space="preserve">Market Opportunity</w:t>
      </w:r>
    </w:p>
    <w:p>
      <w:pPr>
        <w:spacing w:after="100" w:before="60"/>
      </w:pPr>
      <w:r>
        <w:rPr>
          <w:rFonts w:ascii="Arial" w:cs="Arial" w:eastAsia="Arial" w:hAnsi="Arial"/>
          <w:color w:val="222244"/>
          <w:sz w:val="22"/>
          <w:szCs w:val="22"/>
        </w:rPr>
        <w:t xml:space="preserve">The global market for founder tools and financial planning SaaS is estimated at $15 billion, driven by the continued growth of the startup ecosystem. The serviceable addressable market — early-stage B2B SaaS founders who regularly need to produce fundraising and investor materials — is approximately $1.5 billion annually.</w:t>
      </w:r>
    </w:p>
    <w:p>
      <w:pPr>
        <w:spacing w:after="100" w:before="60"/>
      </w:pPr>
      <w:r>
        <w:rPr>
          <w:rFonts w:ascii="Arial" w:cs="Arial" w:eastAsia="Arial" w:hAnsi="Arial"/>
          <w:color w:val="222244"/>
          <w:sz w:val="22"/>
          <w:szCs w:val="22"/>
        </w:rPr>
        <w:t xml:space="preserve">The near-term serviceable obtainable market is $75 million, based on a target of 10,000 founders paying an average contract value of $600 per year. This figure is conservative, and represents a small fraction of the addressable market reachable through the planned accelerator and PLG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D0DBFF" w:sz="1"/>
              <w:left w:val="single" w:color="D0DBFF" w:sz="1"/>
              <w:bottom w:val="single" w:color="D0DBFF" w:sz="1"/>
              <w:right w:val="single" w:color="D0DBFF"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600"/>
            <w:tcBorders>
              <w:top w:val="single" w:color="D0DBFF" w:sz="1"/>
              <w:left w:val="single" w:color="D0DBFF" w:sz="1"/>
              <w:bottom w:val="single" w:color="D0DBFF" w:sz="1"/>
              <w:right w:val="single" w:color="D0DBFF"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200"/>
            <w:tcBorders>
              <w:top w:val="single" w:color="D0DBFF" w:sz="1"/>
              <w:left w:val="single" w:color="D0DBFF" w:sz="1"/>
              <w:bottom w:val="single" w:color="D0DBFF" w:sz="1"/>
              <w:right w:val="single" w:color="D0DBFF"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56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b/>
                <w:bCs/>
                <w:color w:val="1E2761"/>
                <w:sz w:val="20"/>
                <w:szCs w:val="20"/>
              </w:rPr>
              <w:t xml:space="preserve">TAM</w:t>
            </w:r>
          </w:p>
        </w:tc>
        <w:tc>
          <w:tcPr>
            <w:tcW w:type="dxa" w:w="260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b/>
                <w:bCs/>
                <w:color w:val="3A6EDC"/>
                <w:sz w:val="20"/>
                <w:szCs w:val="20"/>
              </w:rPr>
              <w:t xml:space="preserve">$15 billion</w:t>
            </w:r>
          </w:p>
        </w:tc>
        <w:tc>
          <w:tcPr>
            <w:tcW w:type="dxa" w:w="520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sz w:val="20"/>
                <w:szCs w:val="20"/>
              </w:rPr>
              <w:t xml:space="preserve">Global founder tools + financial planning SaaS</w:t>
            </w:r>
          </w:p>
        </w:tc>
      </w:tr>
      <w:tr>
        <w:tc>
          <w:tcPr>
            <w:tcW w:type="dxa" w:w="156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b/>
                <w:bCs/>
                <w:color w:val="1E2761"/>
                <w:sz w:val="20"/>
                <w:szCs w:val="20"/>
              </w:rPr>
              <w:t xml:space="preserve">SAM</w:t>
            </w:r>
          </w:p>
        </w:tc>
        <w:tc>
          <w:tcPr>
            <w:tcW w:type="dxa" w:w="260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b/>
                <w:bCs/>
                <w:color w:val="3A6EDC"/>
                <w:sz w:val="20"/>
                <w:szCs w:val="20"/>
              </w:rPr>
              <w:t xml:space="preserve">$1.5 billion</w:t>
            </w:r>
          </w:p>
        </w:tc>
        <w:tc>
          <w:tcPr>
            <w:tcW w:type="dxa" w:w="520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sz w:val="20"/>
                <w:szCs w:val="20"/>
              </w:rPr>
              <w:t xml:space="preserve">Early-stage B2B SaaS founders raising capital annually</w:t>
            </w:r>
          </w:p>
        </w:tc>
      </w:tr>
      <w:tr>
        <w:tc>
          <w:tcPr>
            <w:tcW w:type="dxa" w:w="156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b/>
                <w:bCs/>
                <w:color w:val="1E2761"/>
                <w:sz w:val="20"/>
                <w:szCs w:val="20"/>
              </w:rPr>
              <w:t xml:space="preserve">SOM</w:t>
            </w:r>
          </w:p>
        </w:tc>
        <w:tc>
          <w:tcPr>
            <w:tcW w:type="dxa" w:w="260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b/>
                <w:bCs/>
                <w:color w:val="3A6EDC"/>
                <w:sz w:val="20"/>
                <w:szCs w:val="20"/>
              </w:rPr>
              <w:t xml:space="preserve">$75 million</w:t>
            </w:r>
          </w:p>
        </w:tc>
        <w:tc>
          <w:tcPr>
            <w:tcW w:type="dxa" w:w="520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sz w:val="20"/>
                <w:szCs w:val="20"/>
              </w:rPr>
              <w:t xml:space="preserve">10,000 founders × $600 ACV (near-term 18-month horizon)</w:t>
            </w:r>
          </w:p>
        </w:tc>
      </w:tr>
    </w:tbl>
    <w:p>
      <w:pPr>
        <w:spacing w:after="0" w:before="160"/>
      </w:pPr>
      <w:r>
        <w:t xml:space="preserve"/>
      </w:r>
    </w:p>
    <w:p>
      <w:pPr>
        <w:pStyle w:val="Heading2"/>
        <w:spacing w:after="120" w:before="280"/>
      </w:pPr>
      <w:r>
        <w:rPr>
          <w:rFonts w:ascii="Arial" w:cs="Arial" w:eastAsia="Arial" w:hAnsi="Arial"/>
          <w:b/>
          <w:bCs/>
          <w:color w:val="1E2761"/>
          <w:sz w:val="28"/>
          <w:szCs w:val="28"/>
        </w:rPr>
        <w:t xml:space="preserve">Market Dynamics</w:t>
      </w:r>
    </w:p>
    <w:p>
      <w:pPr>
        <w:spacing w:after="100" w:before="60"/>
      </w:pPr>
      <w:r>
        <w:rPr>
          <w:rFonts w:ascii="Arial" w:cs="Arial" w:eastAsia="Arial" w:hAnsi="Arial"/>
          <w:color w:val="222244"/>
          <w:sz w:val="22"/>
          <w:szCs w:val="22"/>
        </w:rPr>
        <w:t xml:space="preserve">Three macro forces converge to create the right conditions for VenturePilot right now. First, the bar for founder preparation has never been higher. Founders are expected to show up to investor meetings with polished, consistent, data-backed materials — and the tools to produce them simply do not exist in one place.</w:t>
      </w:r>
    </w:p>
    <w:p>
      <w:pPr>
        <w:spacing w:after="100" w:before="60"/>
      </w:pPr>
      <w:r>
        <w:rPr>
          <w:rFonts w:ascii="Arial" w:cs="Arial" w:eastAsia="Arial" w:hAnsi="Arial"/>
          <w:color w:val="222244"/>
          <w:sz w:val="22"/>
          <w:szCs w:val="22"/>
        </w:rPr>
        <w:t xml:space="preserve">Second, AI acceptance among founders has moved from novelty to expectation. Founders who built AI into their own products are naturally open to AI-assisted operational workflows — especially where the output is grounded in their actual data rather than generic templates.</w:t>
      </w:r>
    </w:p>
    <w:p>
      <w:pPr>
        <w:spacing w:after="100" w:before="60"/>
      </w:pPr>
      <w:r>
        <w:rPr>
          <w:rFonts w:ascii="Arial" w:cs="Arial" w:eastAsia="Arial" w:hAnsi="Arial"/>
          <w:color w:val="222244"/>
          <w:sz w:val="22"/>
          <w:szCs w:val="22"/>
        </w:rPr>
        <w:t xml:space="preserve">Third, the existing tools are structurally misaligned with the problem. Notion, Google Slides, and financial templates were not built with the founder fundraising workflow in mind. The gap is real, felt by every founder who has sat down to prepare a raise, and no one has closed it end-to-end.</w:t>
      </w:r>
    </w:p>
    <w:p>
      <w:pPr>
        <w:pStyle w:val="Heading2"/>
        <w:spacing w:after="120" w:before="280"/>
      </w:pPr>
      <w:r>
        <w:rPr>
          <w:rFonts w:ascii="Arial" w:cs="Arial" w:eastAsia="Arial" w:hAnsi="Arial"/>
          <w:b/>
          <w:bCs/>
          <w:color w:val="1E2761"/>
          <w:sz w:val="28"/>
          <w:szCs w:val="28"/>
        </w:rPr>
        <w:t xml:space="preserve">Competitive Landscape</w:t>
      </w:r>
    </w:p>
    <w:p>
      <w:pPr>
        <w:spacing w:after="100" w:before="60"/>
      </w:pPr>
      <w:r>
        <w:rPr>
          <w:rFonts w:ascii="Arial" w:cs="Arial" w:eastAsia="Arial" w:hAnsi="Arial"/>
          <w:color w:val="222244"/>
          <w:sz w:val="22"/>
          <w:szCs w:val="22"/>
        </w:rPr>
        <w:t xml:space="preserve">The competitive landscape consists of adjacent tool categories rather than direct competitors:</w:t>
      </w:r>
    </w:p>
    <w:p>
      <w:pPr>
        <w:pStyle w:val="ListParagraph"/>
        <w:numPr>
          <w:ilvl w:val="0"/>
          <w:numId w:val="2"/>
        </w:numPr>
        <w:spacing w:after="40" w:before="40"/>
      </w:pPr>
      <w:r>
        <w:rPr>
          <w:rFonts w:ascii="Arial" w:cs="Arial" w:eastAsia="Arial" w:hAnsi="Arial"/>
          <w:b w:val="false"/>
          <w:bCs w:val="false"/>
          <w:color w:val="222244"/>
          <w:sz w:val="22"/>
          <w:szCs w:val="22"/>
        </w:rPr>
        <w:t xml:space="preserve">Document and presentation tools (Notion, Google Slides, Canva): General-purpose. No data connectivity, no fundraise workflow awareness.</w:t>
      </w:r>
    </w:p>
    <w:p>
      <w:pPr>
        <w:pStyle w:val="ListParagraph"/>
        <w:numPr>
          <w:ilvl w:val="0"/>
          <w:numId w:val="2"/>
        </w:numPr>
        <w:spacing w:after="40" w:before="40"/>
      </w:pPr>
      <w:r>
        <w:rPr>
          <w:rFonts w:ascii="Arial" w:cs="Arial" w:eastAsia="Arial" w:hAnsi="Arial"/>
          <w:b w:val="false"/>
          <w:bCs w:val="false"/>
          <w:color w:val="222244"/>
          <w:sz w:val="22"/>
          <w:szCs w:val="22"/>
        </w:rPr>
        <w:t xml:space="preserve">Pitch deck builders (Slidebean, Pitch.com): Design-focused. Static content, no live metrics integration.</w:t>
      </w:r>
    </w:p>
    <w:p>
      <w:pPr>
        <w:pStyle w:val="ListParagraph"/>
        <w:numPr>
          <w:ilvl w:val="0"/>
          <w:numId w:val="2"/>
        </w:numPr>
        <w:spacing w:after="40" w:before="40"/>
      </w:pPr>
      <w:r>
        <w:rPr>
          <w:rFonts w:ascii="Arial" w:cs="Arial" w:eastAsia="Arial" w:hAnsi="Arial"/>
          <w:b w:val="false"/>
          <w:bCs w:val="false"/>
          <w:color w:val="222244"/>
          <w:sz w:val="22"/>
          <w:szCs w:val="22"/>
        </w:rPr>
        <w:t xml:space="preserve">Investor update platforms (Visible.vc, Briefcase): Single-feature tools. Metrics dashboards only, no document generation.</w:t>
      </w:r>
    </w:p>
    <w:p>
      <w:pPr>
        <w:pStyle w:val="ListParagraph"/>
        <w:numPr>
          <w:ilvl w:val="0"/>
          <w:numId w:val="2"/>
        </w:numPr>
        <w:spacing w:after="40" w:before="40"/>
      </w:pPr>
      <w:r>
        <w:rPr>
          <w:rFonts w:ascii="Arial" w:cs="Arial" w:eastAsia="Arial" w:hAnsi="Arial"/>
          <w:b w:val="false"/>
          <w:bCs w:val="false"/>
          <w:color w:val="222244"/>
          <w:sz w:val="22"/>
          <w:szCs w:val="22"/>
        </w:rPr>
        <w:t xml:space="preserve">Financial modeling tools (Cabal, Visible): Spreadsheet-first. No narrative generation, no deck output.</w:t>
      </w:r>
    </w:p>
    <w:p>
      <w:pPr>
        <w:spacing w:after="100" w:before="60"/>
      </w:pPr>
      <w:r>
        <w:rPr>
          <w:rFonts w:ascii="Arial" w:cs="Arial" w:eastAsia="Arial" w:hAnsi="Arial"/>
          <w:color w:val="222244"/>
          <w:sz w:val="22"/>
          <w:szCs w:val="22"/>
        </w:rPr>
        <w:t xml:space="preserve">VenturePilot owns the intersection: live data + AI narrative generation + full document suite. No competitor operates across all three dimensions simultaneously.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425"/>
        <w:gridCol w:w="1425"/>
        <w:gridCol w:w="1425"/>
        <w:gridCol w:w="1425"/>
      </w:tblGrid>
      <w:tr>
        <w:tc>
          <w:tcPr>
            <w:tcW w:type="dxa" w:w="210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Competitor</w:t>
            </w:r>
          </w:p>
        </w:tc>
        <w:tc>
          <w:tcPr>
            <w:tcW w:type="dxa" w:w="156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Price</w:t>
            </w:r>
          </w:p>
        </w:tc>
        <w:tc>
          <w:tcPr>
            <w:tcW w:type="dxa" w:w="1425"/>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AI Native</w:t>
            </w:r>
          </w:p>
        </w:tc>
        <w:tc>
          <w:tcPr>
            <w:tcW w:type="dxa" w:w="1425"/>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Live Metrics</w:t>
            </w:r>
          </w:p>
        </w:tc>
        <w:tc>
          <w:tcPr>
            <w:tcW w:type="dxa" w:w="1425"/>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Doc Suite</w:t>
            </w:r>
          </w:p>
        </w:tc>
        <w:tc>
          <w:tcPr>
            <w:tcW w:type="dxa" w:w="1425"/>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Open Source</w:t>
            </w:r>
          </w:p>
        </w:tc>
      </w:tr>
      <w:tr>
        <w:tc>
          <w:tcPr>
            <w:tcW w:type="dxa" w:w="21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Visible.vc</w:t>
            </w:r>
          </w:p>
        </w:tc>
        <w:tc>
          <w:tcPr>
            <w:tcW w:type="dxa" w:w="15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$99–299/mo</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r>
      <w:tr>
        <w:tc>
          <w:tcPr>
            <w:tcW w:type="dxa" w:w="21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Foresight</w:t>
            </w:r>
          </w:p>
        </w:tc>
        <w:tc>
          <w:tcPr>
            <w:tcW w:type="dxa" w:w="15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$50–150/mo</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3A6EDC"/>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r>
      <w:tr>
        <w:tc>
          <w:tcPr>
            <w:tcW w:type="dxa" w:w="21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LivePlan</w:t>
            </w:r>
          </w:p>
        </w:tc>
        <w:tc>
          <w:tcPr>
            <w:tcW w:type="dxa" w:w="15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$20–40/mo</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r>
      <w:tr>
        <w:tc>
          <w:tcPr>
            <w:tcW w:type="dxa" w:w="21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Slidebean</w:t>
            </w:r>
          </w:p>
        </w:tc>
        <w:tc>
          <w:tcPr>
            <w:tcW w:type="dxa" w:w="15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$29–149/mo</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3A6EDC"/>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r>
      <w:tr>
        <w:tc>
          <w:tcPr>
            <w:tcW w:type="dxa" w:w="21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Pitch.com</w:t>
            </w:r>
          </w:p>
        </w:tc>
        <w:tc>
          <w:tcPr>
            <w:tcW w:type="dxa" w:w="15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$29–99/mo</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3A6EDC"/>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c>
          <w:tcPr>
            <w:tcW w:type="dxa" w:w="1425"/>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888888"/>
                <w:sz w:val="18"/>
                <w:szCs w:val="18"/>
              </w:rPr>
              <w:t xml:space="preserve">✗</w:t>
            </w:r>
          </w:p>
        </w:tc>
      </w:tr>
      <w:tr>
        <w:tc>
          <w:tcPr>
            <w:tcW w:type="dxa" w:w="21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VenturePilot</w:t>
            </w:r>
          </w:p>
        </w:tc>
        <w:tc>
          <w:tcPr>
            <w:tcW w:type="dxa" w:w="15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888888"/>
                <w:sz w:val="18"/>
                <w:szCs w:val="18"/>
              </w:rPr>
              <w:t xml:space="preserve">$29/mo</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02C39A"/>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02C39A"/>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02C39A"/>
                <w:sz w:val="18"/>
                <w:szCs w:val="18"/>
              </w:rPr>
              <w:t xml:space="preserve">✓</w:t>
            </w:r>
          </w:p>
        </w:tc>
        <w:tc>
          <w:tcPr>
            <w:tcW w:type="dxa" w:w="1425"/>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02C39A"/>
                <w:sz w:val="18"/>
                <w:szCs w:val="18"/>
              </w:rPr>
              <w:t xml:space="preserve">✓</w:t>
            </w:r>
          </w:p>
        </w:tc>
      </w:tr>
    </w:tbl>
    <w:p>
      <w:r>
        <w:br w:type="page"/>
      </w:r>
    </w:p>
    <w:p>
      <w:pPr>
        <w:pStyle w:val="Heading1"/>
        <w:pBdr>
          <w:bottom w:val="single" w:color="3A6EDC" w:sz="4" w:space="6"/>
        </w:pBdr>
        <w:spacing w:after="160" w:before="360"/>
      </w:pPr>
      <w:r>
        <w:rPr>
          <w:rFonts w:ascii="Arial" w:cs="Arial" w:eastAsia="Arial" w:hAnsi="Arial"/>
          <w:b/>
          <w:bCs/>
          <w:color w:val="1E2761"/>
          <w:sz w:val="36"/>
          <w:szCs w:val="36"/>
        </w:rPr>
        <w:t xml:space="preserve">3. Product &amp; Technology</w:t>
      </w:r>
    </w:p>
    <w:p>
      <w:pPr>
        <w:pStyle w:val="Heading2"/>
        <w:spacing w:after="120" w:before="280"/>
      </w:pPr>
      <w:r>
        <w:rPr>
          <w:rFonts w:ascii="Arial" w:cs="Arial" w:eastAsia="Arial" w:hAnsi="Arial"/>
          <w:b/>
          <w:bCs/>
          <w:color w:val="1E2761"/>
          <w:sz w:val="28"/>
          <w:szCs w:val="28"/>
        </w:rPr>
        <w:t xml:space="preserve">Product Overview</w:t>
      </w:r>
    </w:p>
    <w:p>
      <w:pPr>
        <w:spacing w:after="100" w:before="60"/>
      </w:pPr>
      <w:r>
        <w:rPr>
          <w:rFonts w:ascii="Arial" w:cs="Arial" w:eastAsia="Arial" w:hAnsi="Arial"/>
          <w:color w:val="222244"/>
          <w:sz w:val="22"/>
          <w:szCs w:val="22"/>
        </w:rPr>
        <w:t xml:space="preserve">VenturePilot is a web-based platform structured around a central metrics hub that feeds into a suite of auto-generated investor documents. The product architecture reflects a single core insight: founders should enter their numbers once, and every downstream document — deck, plan, update, model — should derive from that single source of truth.</w:t>
      </w:r>
    </w:p>
    <w:p>
      <w:pPr>
        <w:pStyle w:val="Heading2"/>
        <w:spacing w:after="120" w:before="280"/>
      </w:pPr>
      <w:r>
        <w:rPr>
          <w:rFonts w:ascii="Arial" w:cs="Arial" w:eastAsia="Arial" w:hAnsi="Arial"/>
          <w:b/>
          <w:bCs/>
          <w:color w:val="1E2761"/>
          <w:sz w:val="28"/>
          <w:szCs w:val="28"/>
        </w:rPr>
        <w:t xml:space="preserve">Core Product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Module</w:t>
            </w:r>
          </w:p>
        </w:tc>
        <w:tc>
          <w:tcPr>
            <w:tcW w:type="dxa" w:w="358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Capability</w:t>
            </w:r>
          </w:p>
        </w:tc>
        <w:tc>
          <w:tcPr>
            <w:tcW w:type="dxa" w:w="358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Key Feature</w:t>
            </w:r>
          </w:p>
        </w:tc>
      </w:tr>
      <w:tr>
        <w:tc>
          <w:tcPr>
            <w:tcW w:type="dxa" w:w="22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Dashboard</w:t>
            </w:r>
          </w:p>
        </w:tc>
        <w:tc>
          <w:tcPr>
            <w:tcW w:type="dxa" w:w="358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Monte Carlo runway (2,500 trials), KPI StatCards, health radar, burn trajectory</w:t>
            </w:r>
          </w:p>
        </w:tc>
        <w:tc>
          <w:tcPr>
            <w:tcW w:type="dxa" w:w="358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Probability-weighted survival analysis</w:t>
            </w:r>
          </w:p>
        </w:tc>
      </w:tr>
      <w:tr>
        <w:tc>
          <w:tcPr>
            <w:tcW w:type="dxa" w:w="22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Pitch Deck</w:t>
            </w:r>
          </w:p>
        </w:tc>
        <w:tc>
          <w:tcPr>
            <w:tcW w:type="dxa" w:w="358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12-slide investor deck auto-generated from metrics, keyboard navigation, speaker notes</w:t>
            </w:r>
          </w:p>
        </w:tc>
        <w:tc>
          <w:tcPr>
            <w:tcW w:type="dxa" w:w="358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Export to PPTX and HTML</w:t>
            </w:r>
          </w:p>
        </w:tc>
      </w:tr>
      <w:tr>
        <w:tc>
          <w:tcPr>
            <w:tcW w:type="dxa" w:w="22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Business Plan</w:t>
            </w:r>
          </w:p>
        </w:tc>
        <w:tc>
          <w:tcPr>
            <w:tcW w:type="dxa" w:w="358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AI-generated 7-section plan with live data integration, use-of-funds chart</w:t>
            </w:r>
          </w:p>
        </w:tc>
        <w:tc>
          <w:tcPr>
            <w:tcW w:type="dxa" w:w="358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One-click Word export</w:t>
            </w:r>
          </w:p>
        </w:tc>
      </w:tr>
      <w:tr>
        <w:tc>
          <w:tcPr>
            <w:tcW w:type="dxa" w:w="22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Valuation</w:t>
            </w:r>
          </w:p>
        </w:tc>
        <w:tc>
          <w:tcPr>
            <w:tcW w:type="dxa" w:w="358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4-method calculator (ARR Multiple, DCF, Comparable, VC Method), SAFE modeler</w:t>
            </w:r>
          </w:p>
        </w:tc>
        <w:tc>
          <w:tcPr>
            <w:tcW w:type="dxa" w:w="358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Cap table dilution &amp; MOIC sliders</w:t>
            </w:r>
          </w:p>
        </w:tc>
      </w:tr>
      <w:tr>
        <w:tc>
          <w:tcPr>
            <w:tcW w:type="dxa" w:w="22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Market Bench</w:t>
            </w:r>
          </w:p>
        </w:tc>
        <w:tc>
          <w:tcPr>
            <w:tcW w:type="dxa" w:w="358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4-sector comparison (B2B SaaS, Fintech, Dev Tools, AI/ML), percentile radar</w:t>
            </w:r>
          </w:p>
        </w:tc>
        <w:tc>
          <w:tcPr>
            <w:tcW w:type="dxa" w:w="358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Cross-sector bar chart</w:t>
            </w:r>
          </w:p>
        </w:tc>
      </w:tr>
      <w:tr>
        <w:tc>
          <w:tcPr>
            <w:tcW w:type="dxa" w:w="22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Investor Match</w:t>
            </w:r>
          </w:p>
        </w:tc>
        <w:tc>
          <w:tcPr>
            <w:tcW w:type="dxa" w:w="358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Curated VC list with fit scoring (0–100), thesis alignment filters</w:t>
            </w:r>
          </w:p>
        </w:tc>
        <w:tc>
          <w:tcPr>
            <w:tcW w:type="dxa" w:w="358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Status pipeline, CSV export</w:t>
            </w:r>
          </w:p>
        </w:tc>
      </w:tr>
      <w:tr>
        <w:tc>
          <w:tcPr>
            <w:tcW w:type="dxa" w:w="22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Strategy</w:t>
            </w:r>
          </w:p>
        </w:tc>
        <w:tc>
          <w:tcPr>
            <w:tcW w:type="dxa" w:w="358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5-scenario financial modeling, milestone tracker, preset playbooks</w:t>
            </w:r>
          </w:p>
        </w:tc>
        <w:tc>
          <w:tcPr>
            <w:tcW w:type="dxa" w:w="358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Drag-to-reorder milestone checklist</w:t>
            </w:r>
          </w:p>
        </w:tc>
      </w:tr>
      <w:tr>
        <w:tc>
          <w:tcPr>
            <w:tcW w:type="dxa" w:w="22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Investor Update</w:t>
            </w:r>
          </w:p>
        </w:tc>
        <w:tc>
          <w:tcPr>
            <w:tcW w:type="dxa" w:w="358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AI-generated monthly/quarterly emails, 3 tone presets, live metric injection</w:t>
            </w:r>
          </w:p>
        </w:tc>
        <w:tc>
          <w:tcPr>
            <w:tcW w:type="dxa" w:w="358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One-click copy to clipboard</w:t>
            </w:r>
          </w:p>
        </w:tc>
      </w:tr>
    </w:tbl>
    <w:p>
      <w:pPr>
        <w:spacing w:after="0" w:before="160"/>
      </w:pPr>
      <w:r>
        <w:t xml:space="preserve"/>
      </w:r>
    </w:p>
    <w:p>
      <w:pPr>
        <w:pStyle w:val="Heading3"/>
        <w:spacing w:after="80" w:before="200"/>
      </w:pPr>
      <w:r>
        <w:rPr>
          <w:rFonts w:ascii="Arial" w:cs="Arial" w:eastAsia="Arial" w:hAnsi="Arial"/>
          <w:b/>
          <w:bCs/>
          <w:color w:val="3A6EDC"/>
          <w:sz w:val="24"/>
          <w:szCs w:val="24"/>
        </w:rPr>
        <w:t xml:space="preserve">Live Dashboard</w:t>
      </w:r>
    </w:p>
    <w:p>
      <w:pPr>
        <w:spacing w:after="100" w:before="60"/>
      </w:pPr>
      <w:r>
        <w:rPr>
          <w:rFonts w:ascii="Arial" w:cs="Arial" w:eastAsia="Arial" w:hAnsi="Arial"/>
          <w:color w:val="222244"/>
          <w:sz w:val="22"/>
          <w:szCs w:val="22"/>
        </w:rPr>
        <w:t xml:space="preserve">The Dashboard module auto-calculates all derived financial metrics — runway, burn multiple, Rule of 40, LTV:CAC, net dollar retention — from the inputs provided at onboarding. Every metric updates in real time. Investors and founders can see the full health of the business in one screen.</w:t>
      </w:r>
    </w:p>
    <w:p>
      <w:pPr>
        <w:pStyle w:val="Heading3"/>
        <w:spacing w:after="80" w:before="200"/>
      </w:pPr>
      <w:r>
        <w:rPr>
          <w:rFonts w:ascii="Arial" w:cs="Arial" w:eastAsia="Arial" w:hAnsi="Arial"/>
          <w:b/>
          <w:bCs/>
          <w:color w:val="3A6EDC"/>
          <w:sz w:val="24"/>
          <w:szCs w:val="24"/>
        </w:rPr>
        <w:t xml:space="preserve">Pitch Deck Generator</w:t>
      </w:r>
    </w:p>
    <w:p>
      <w:pPr>
        <w:spacing w:after="100" w:before="60"/>
      </w:pPr>
      <w:r>
        <w:rPr>
          <w:rFonts w:ascii="Arial" w:cs="Arial" w:eastAsia="Arial" w:hAnsi="Arial"/>
          <w:color w:val="222244"/>
          <w:sz w:val="22"/>
          <w:szCs w:val="22"/>
        </w:rPr>
        <w:t xml:space="preserve">The Pitch Deck module generates a 10-slide investor presentation populated entirely from the live data. Each slide corresponds to a standard fundraise narrative section: problem, solution, traction, market, business model, competition, team, and ask. Decks are exportable as HTML or PPTX. The "Made with VenturePilot" footer drives viral product-led growth within the investor ecosystem.</w:t>
      </w:r>
    </w:p>
    <w:p>
      <w:pPr>
        <w:pStyle w:val="Heading3"/>
        <w:spacing w:after="80" w:before="200"/>
      </w:pPr>
      <w:r>
        <w:rPr>
          <w:rFonts w:ascii="Arial" w:cs="Arial" w:eastAsia="Arial" w:hAnsi="Arial"/>
          <w:b/>
          <w:bCs/>
          <w:color w:val="3A6EDC"/>
          <w:sz w:val="24"/>
          <w:szCs w:val="24"/>
        </w:rPr>
        <w:t xml:space="preserve">AI Business Plan</w:t>
      </w:r>
    </w:p>
    <w:p>
      <w:pPr>
        <w:spacing w:after="100" w:before="60"/>
      </w:pPr>
      <w:r>
        <w:rPr>
          <w:rFonts w:ascii="Arial" w:cs="Arial" w:eastAsia="Arial" w:hAnsi="Arial"/>
          <w:color w:val="222244"/>
          <w:sz w:val="22"/>
          <w:szCs w:val="22"/>
        </w:rPr>
        <w:t xml:space="preserve">The Business Plan module uses the live metrics as grounding context for AI-generated narrative sections: Executive Summary, Market Analysis, Product &amp; Technology, Go-to-Market Strategy, Financial Projections, and Team. Sections are regenerated on demand or when underlying data changes materially. Output is exportable as a formatted Word document.</w:t>
      </w:r>
    </w:p>
    <w:p>
      <w:pPr>
        <w:pStyle w:val="Heading3"/>
        <w:spacing w:after="80" w:before="200"/>
      </w:pPr>
      <w:r>
        <w:rPr>
          <w:rFonts w:ascii="Arial" w:cs="Arial" w:eastAsia="Arial" w:hAnsi="Arial"/>
          <w:b/>
          <w:bCs/>
          <w:color w:val="3A6EDC"/>
          <w:sz w:val="24"/>
          <w:szCs w:val="24"/>
        </w:rPr>
        <w:t xml:space="preserve">Investor Update Generator</w:t>
      </w:r>
    </w:p>
    <w:p>
      <w:pPr>
        <w:spacing w:after="100" w:before="60"/>
      </w:pPr>
      <w:r>
        <w:rPr>
          <w:rFonts w:ascii="Arial" w:cs="Arial" w:eastAsia="Arial" w:hAnsi="Arial"/>
          <w:color w:val="222244"/>
          <w:sz w:val="22"/>
          <w:szCs w:val="22"/>
        </w:rPr>
        <w:t xml:space="preserve">The Investor Update module drafts monthly investor updates in seconds, tone-tuned to the founder's selected cadence and communication style. Updates are grounded in current MRR, burn, runway, traction, and key milestones. The module eliminates the primary reason founders skip updates: the writing overhead.</w:t>
      </w:r>
    </w:p>
    <w:p>
      <w:pPr>
        <w:pStyle w:val="Heading3"/>
        <w:spacing w:after="80" w:before="200"/>
      </w:pPr>
      <w:r>
        <w:rPr>
          <w:rFonts w:ascii="Arial" w:cs="Arial" w:eastAsia="Arial" w:hAnsi="Arial"/>
          <w:b/>
          <w:bCs/>
          <w:color w:val="3A6EDC"/>
          <w:sz w:val="24"/>
          <w:szCs w:val="24"/>
        </w:rPr>
        <w:t xml:space="preserve">Valuation &amp; Cap Table</w:t>
      </w:r>
    </w:p>
    <w:p>
      <w:pPr>
        <w:spacing w:after="100" w:before="60"/>
      </w:pPr>
      <w:r>
        <w:rPr>
          <w:rFonts w:ascii="Arial" w:cs="Arial" w:eastAsia="Arial" w:hAnsi="Arial"/>
          <w:color w:val="222244"/>
          <w:sz w:val="22"/>
          <w:szCs w:val="22"/>
        </w:rPr>
        <w:t xml:space="preserve">The Valuation module provides four calculation methods — ARR multiple, DCF, comparable company, and VC method — with live output. SAFE note dilution modeling and cap table visualization are built in. Founders can model multiple raise scenarios in parallel and share valuation summaries directly with investors.</w:t>
      </w:r>
    </w:p>
    <w:p>
      <w:pPr>
        <w:pStyle w:val="Heading2"/>
        <w:spacing w:after="120" w:before="280"/>
      </w:pPr>
      <w:r>
        <w:rPr>
          <w:rFonts w:ascii="Arial" w:cs="Arial" w:eastAsia="Arial" w:hAnsi="Arial"/>
          <w:b/>
          <w:bCs/>
          <w:color w:val="1E2761"/>
          <w:sz w:val="28"/>
          <w:szCs w:val="28"/>
        </w:rPr>
        <w:t xml:space="preserve">Technical Differentiation</w:t>
      </w:r>
    </w:p>
    <w:p>
      <w:pPr>
        <w:spacing w:after="100" w:before="60"/>
      </w:pPr>
      <w:r>
        <w:rPr>
          <w:rFonts w:ascii="Arial" w:cs="Arial" w:eastAsia="Arial" w:hAnsi="Arial"/>
          <w:color w:val="222244"/>
          <w:sz w:val="22"/>
          <w:szCs w:val="22"/>
        </w:rPr>
        <w:t xml:space="preserve">The core technical moat is the live data binding architecture: every document module subscribes to the same normalized metrics state, which means any input change propagates across all documents simultaneously. This is architecturally trivial but operationally transformative — no other product in this category has implemented it end-to-end.</w:t>
      </w:r>
    </w:p>
    <w:p>
      <w:pPr>
        <w:spacing w:after="100" w:before="60"/>
      </w:pPr>
      <w:r>
        <w:rPr>
          <w:rFonts w:ascii="Arial" w:cs="Arial" w:eastAsia="Arial" w:hAnsi="Arial"/>
          <w:color w:val="222244"/>
          <w:sz w:val="22"/>
          <w:szCs w:val="22"/>
        </w:rPr>
        <w:t xml:space="preserve">The AI generation layer is built with fundraise-specific prompting context: every generation call is grounded in the founder's actual metrics, which constrains hallucination and produces accurate, specific narrative rather than generic business writing.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Layer</w:t>
            </w:r>
          </w:p>
        </w:tc>
        <w:tc>
          <w:tcPr>
            <w:tcW w:type="dxa" w:w="656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Technology</w:t>
            </w:r>
          </w:p>
        </w:tc>
      </w:tr>
      <w:tr>
        <w:tc>
          <w:tcPr>
            <w:tcW w:type="dxa" w:w="28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Frontend</w:t>
            </w:r>
          </w:p>
        </w:tc>
        <w:tc>
          <w:tcPr>
            <w:tcW w:type="dxa" w:w="65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React 18 + TypeScript — enterprise-grade component architecture, full type safety</w:t>
            </w:r>
          </w:p>
        </w:tc>
      </w:tr>
      <w:tr>
        <w:tc>
          <w:tcPr>
            <w:tcW w:type="dxa" w:w="28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Build System</w:t>
            </w:r>
          </w:p>
        </w:tc>
        <w:tc>
          <w:tcPr>
            <w:tcW w:type="dxa" w:w="65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Vite 8 + Rolldown — fastest production builds with code splitting and tree shaking</w:t>
            </w:r>
          </w:p>
        </w:tc>
      </w:tr>
      <w:tr>
        <w:tc>
          <w:tcPr>
            <w:tcW w:type="dxa" w:w="28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Styling</w:t>
            </w:r>
          </w:p>
        </w:tc>
        <w:tc>
          <w:tcPr>
            <w:tcW w:type="dxa" w:w="65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Tailwind CSS v3 + custom CSS variables — design system with dark/light mode</w:t>
            </w:r>
          </w:p>
        </w:tc>
      </w:tr>
      <w:tr>
        <w:tc>
          <w:tcPr>
            <w:tcW w:type="dxa" w:w="28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Animation</w:t>
            </w:r>
          </w:p>
        </w:tc>
        <w:tc>
          <w:tcPr>
            <w:tcW w:type="dxa" w:w="65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Framer Motion 11 — physics-based animations for charts, transitions, micro-interactions</w:t>
            </w:r>
          </w:p>
        </w:tc>
      </w:tr>
      <w:tr>
        <w:tc>
          <w:tcPr>
            <w:tcW w:type="dxa" w:w="28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Charts / Viz</w:t>
            </w:r>
          </w:p>
        </w:tc>
        <w:tc>
          <w:tcPr>
            <w:tcW w:type="dxa" w:w="65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Recharts — AreaChart, RadarChart, BarChart, PieChart, Monte Carlo histogram</w:t>
            </w:r>
          </w:p>
        </w:tc>
      </w:tr>
      <w:tr>
        <w:tc>
          <w:tcPr>
            <w:tcW w:type="dxa" w:w="28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State Management</w:t>
            </w:r>
          </w:p>
        </w:tc>
        <w:tc>
          <w:tcPr>
            <w:tcW w:type="dxa" w:w="65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React Context + useReducer — predictable state with full audit trail</w:t>
            </w:r>
          </w:p>
        </w:tc>
      </w:tr>
      <w:tr>
        <w:tc>
          <w:tcPr>
            <w:tcW w:type="dxa" w:w="28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AI Engine</w:t>
            </w:r>
          </w:p>
        </w:tc>
        <w:tc>
          <w:tcPr>
            <w:tcW w:type="dxa" w:w="65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Chrome AI (Gemini Nano) with WebLLM (Phi-3.5 Mini) fallback via WebGPU</w:t>
            </w:r>
          </w:p>
        </w:tc>
      </w:tr>
      <w:tr>
        <w:tc>
          <w:tcPr>
            <w:tcW w:type="dxa" w:w="28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Routing</w:t>
            </w:r>
          </w:p>
        </w:tc>
        <w:tc>
          <w:tcPr>
            <w:tcW w:type="dxa" w:w="65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HashRouter — GitHub Pages compatible, no server-side routing required</w:t>
            </w:r>
          </w:p>
        </w:tc>
      </w:tr>
      <w:tr>
        <w:tc>
          <w:tcPr>
            <w:tcW w:type="dxa" w:w="28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Deployment</w:t>
            </w:r>
          </w:p>
        </w:tc>
        <w:tc>
          <w:tcPr>
            <w:tcW w:type="dxa" w:w="65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GitHub Pages CDN — zero hosting cost, sub-second global load times</w:t>
            </w:r>
          </w:p>
        </w:tc>
      </w:tr>
    </w:tbl>
    <w:p>
      <w:pPr>
        <w:pStyle w:val="Heading2"/>
        <w:spacing w:after="120" w:before="280"/>
      </w:pPr>
      <w:r>
        <w:rPr>
          <w:rFonts w:ascii="Arial" w:cs="Arial" w:eastAsia="Arial" w:hAnsi="Arial"/>
          <w:b/>
          <w:bCs/>
          <w:color w:val="1E2761"/>
          <w:sz w:val="28"/>
          <w:szCs w:val="28"/>
        </w:rPr>
        <w:t xml:space="preserve">Product Roadmap</w:t>
      </w:r>
    </w:p>
    <w:p>
      <w:pPr>
        <w:pStyle w:val="ListParagraph"/>
        <w:numPr>
          <w:ilvl w:val="0"/>
          <w:numId w:val="2"/>
        </w:numPr>
        <w:spacing w:after="40" w:before="40"/>
      </w:pPr>
      <w:r>
        <w:rPr>
          <w:rFonts w:ascii="Arial" w:cs="Arial" w:eastAsia="Arial" w:hAnsi="Arial"/>
          <w:b w:val="false"/>
          <w:bCs w:val="false"/>
          <w:color w:val="222244"/>
          <w:sz w:val="22"/>
          <w:szCs w:val="22"/>
        </w:rPr>
        <w:t xml:space="preserve">Q3 2026: QuickBooks and Stripe data integrations (auto-sync financials from source)</w:t>
      </w:r>
    </w:p>
    <w:p>
      <w:pPr>
        <w:pStyle w:val="ListParagraph"/>
        <w:numPr>
          <w:ilvl w:val="0"/>
          <w:numId w:val="2"/>
        </w:numPr>
        <w:spacing w:after="40" w:before="40"/>
      </w:pPr>
      <w:r>
        <w:rPr>
          <w:rFonts w:ascii="Arial" w:cs="Arial" w:eastAsia="Arial" w:hAnsi="Arial"/>
          <w:b w:val="false"/>
          <w:bCs w:val="false"/>
          <w:color w:val="222244"/>
          <w:sz w:val="22"/>
          <w:szCs w:val="22"/>
        </w:rPr>
        <w:t xml:space="preserve">Q3 2026: Mobile companion app (metrics input and update delivery on iOS/Android)</w:t>
      </w:r>
    </w:p>
    <w:p>
      <w:pPr>
        <w:pStyle w:val="ListParagraph"/>
        <w:numPr>
          <w:ilvl w:val="0"/>
          <w:numId w:val="2"/>
        </w:numPr>
        <w:spacing w:after="40" w:before="40"/>
      </w:pPr>
      <w:r>
        <w:rPr>
          <w:rFonts w:ascii="Arial" w:cs="Arial" w:eastAsia="Arial" w:hAnsi="Arial"/>
          <w:b w:val="false"/>
          <w:bCs w:val="false"/>
          <w:color w:val="222244"/>
          <w:sz w:val="22"/>
          <w:szCs w:val="22"/>
        </w:rPr>
        <w:t xml:space="preserve">Q4 2026: Investor CRM with sentiment tracking and pipeline management</w:t>
      </w:r>
    </w:p>
    <w:p>
      <w:pPr>
        <w:pStyle w:val="ListParagraph"/>
        <w:numPr>
          <w:ilvl w:val="0"/>
          <w:numId w:val="2"/>
        </w:numPr>
        <w:spacing w:after="40" w:before="40"/>
      </w:pPr>
      <w:r>
        <w:rPr>
          <w:rFonts w:ascii="Arial" w:cs="Arial" w:eastAsia="Arial" w:hAnsi="Arial"/>
          <w:b w:val="false"/>
          <w:bCs w:val="false"/>
          <w:color w:val="222244"/>
          <w:sz w:val="22"/>
          <w:szCs w:val="22"/>
        </w:rPr>
        <w:t xml:space="preserve">Q1 2027: Accelerator cohort multi-company dashboard and white-label export</w:t>
      </w:r>
    </w:p>
    <w:p>
      <w:pPr>
        <w:pStyle w:val="ListParagraph"/>
        <w:numPr>
          <w:ilvl w:val="0"/>
          <w:numId w:val="2"/>
        </w:numPr>
        <w:spacing w:after="40" w:before="40"/>
      </w:pPr>
      <w:r>
        <w:rPr>
          <w:rFonts w:ascii="Arial" w:cs="Arial" w:eastAsia="Arial" w:hAnsi="Arial"/>
          <w:b w:val="false"/>
          <w:bCs w:val="false"/>
          <w:color w:val="222244"/>
          <w:sz w:val="22"/>
          <w:szCs w:val="22"/>
        </w:rPr>
        <w:t xml:space="preserve">Q2 2027: Series A readiness module — board deck, data room, due diligence checklist</w:t>
      </w:r>
    </w:p>
    <w:p>
      <w:r>
        <w:br w:type="page"/>
      </w:r>
    </w:p>
    <w:p>
      <w:pPr>
        <w:pStyle w:val="Heading1"/>
        <w:pBdr>
          <w:bottom w:val="single" w:color="3A6EDC" w:sz="4" w:space="6"/>
        </w:pBdr>
        <w:spacing w:after="160" w:before="360"/>
      </w:pPr>
      <w:r>
        <w:rPr>
          <w:rFonts w:ascii="Arial" w:cs="Arial" w:eastAsia="Arial" w:hAnsi="Arial"/>
          <w:b/>
          <w:bCs/>
          <w:color w:val="1E2761"/>
          <w:sz w:val="36"/>
          <w:szCs w:val="36"/>
        </w:rPr>
        <w:t xml:space="preserve">4. Go-To-Market Strategy</w:t>
      </w:r>
    </w:p>
    <w:p>
      <w:pPr>
        <w:pStyle w:val="Heading2"/>
        <w:spacing w:after="120" w:before="280"/>
      </w:pPr>
      <w:r>
        <w:rPr>
          <w:rFonts w:ascii="Arial" w:cs="Arial" w:eastAsia="Arial" w:hAnsi="Arial"/>
          <w:b/>
          <w:bCs/>
          <w:color w:val="1E2761"/>
          <w:sz w:val="28"/>
          <w:szCs w:val="28"/>
        </w:rPr>
        <w:t xml:space="preserve">Target Customer</w:t>
      </w:r>
    </w:p>
    <w:p>
      <w:pPr>
        <w:spacing w:after="100" w:before="60"/>
      </w:pPr>
      <w:r>
        <w:rPr>
          <w:rFonts w:ascii="Arial" w:cs="Arial" w:eastAsia="Arial" w:hAnsi="Arial"/>
          <w:color w:val="222244"/>
          <w:sz w:val="22"/>
          <w:szCs w:val="22"/>
        </w:rPr>
        <w:t xml:space="preserve">The primary ICP is a B2B SaaS founder at the Pre-seed to Series A stage who is actively preparing for an institutional raise and has between $0 and $2M ARR. This founder is technical or semi-technical, has 2–10 employees, and is time-constrained in a way that makes documentation overhead acutely painful. Secondary ICPs include repeat founders who have lived the problem before and accelerator cohort members who are preparing simultaneously for demo day and seed raises.</w:t>
      </w:r>
    </w:p>
    <w:p>
      <w:pPr>
        <w:pStyle w:val="Heading2"/>
        <w:spacing w:after="120" w:before="280"/>
      </w:pPr>
      <w:r>
        <w:rPr>
          <w:rFonts w:ascii="Arial" w:cs="Arial" w:eastAsia="Arial" w:hAnsi="Arial"/>
          <w:b/>
          <w:bCs/>
          <w:color w:val="1E2761"/>
          <w:sz w:val="28"/>
          <w:szCs w:val="28"/>
        </w:rPr>
        <w:t xml:space="preserve">Acquisition Channels</w:t>
      </w:r>
    </w:p>
    <w:p>
      <w:pPr>
        <w:pStyle w:val="Heading3"/>
        <w:spacing w:after="80" w:before="200"/>
      </w:pPr>
      <w:r>
        <w:rPr>
          <w:rFonts w:ascii="Arial" w:cs="Arial" w:eastAsia="Arial" w:hAnsi="Arial"/>
          <w:b/>
          <w:bCs/>
          <w:color w:val="3A6EDC"/>
          <w:sz w:val="24"/>
          <w:szCs w:val="24"/>
        </w:rPr>
        <w:t xml:space="preserve">Product-Led Growth (PLG) Flywheel</w:t>
      </w:r>
    </w:p>
    <w:p>
      <w:pPr>
        <w:spacing w:after="100" w:before="60"/>
      </w:pPr>
      <w:r>
        <w:rPr>
          <w:rFonts w:ascii="Arial" w:cs="Arial" w:eastAsia="Arial" w:hAnsi="Arial"/>
          <w:color w:val="222244"/>
          <w:sz w:val="22"/>
          <w:szCs w:val="22"/>
        </w:rPr>
        <w:t xml:space="preserve">Every document exported from VenturePilot carries the VenturePilot brand into the rooms where future users sit — pitch meetings, board meetings, investor calls. This is the most capital-efficient acquisition channel available, requiring no paid spend and scaling automatically with product usage from day one.</w:t>
      </w:r>
    </w:p>
    <w:p>
      <w:pPr>
        <w:pStyle w:val="Heading3"/>
        <w:spacing w:after="80" w:before="200"/>
      </w:pPr>
      <w:r>
        <w:rPr>
          <w:rFonts w:ascii="Arial" w:cs="Arial" w:eastAsia="Arial" w:hAnsi="Arial"/>
          <w:b/>
          <w:bCs/>
          <w:color w:val="3A6EDC"/>
          <w:sz w:val="24"/>
          <w:szCs w:val="24"/>
        </w:rPr>
        <w:t xml:space="preserve">Accelerator Partnerships</w:t>
      </w:r>
    </w:p>
    <w:p>
      <w:pPr>
        <w:spacing w:after="100" w:before="60"/>
      </w:pPr>
      <w:r>
        <w:rPr>
          <w:rFonts w:ascii="Arial" w:cs="Arial" w:eastAsia="Arial" w:hAnsi="Arial"/>
          <w:color w:val="222244"/>
          <w:sz w:val="22"/>
          <w:szCs w:val="22"/>
        </w:rPr>
        <w:t xml:space="preserve">Accelerators and incubators represent a high-density distribution channel: a single partnership surfaces VenturePilot to 20–50 actively raising founders simultaneously. Accelerators benefit from giving their cohorts a professional fundraising tool that reflects well on portfolio quality. Conversations with three accelerator programs are in progress.</w:t>
      </w:r>
    </w:p>
    <w:p>
      <w:pPr>
        <w:pStyle w:val="Heading3"/>
        <w:spacing w:after="80" w:before="200"/>
      </w:pPr>
      <w:r>
        <w:rPr>
          <w:rFonts w:ascii="Arial" w:cs="Arial" w:eastAsia="Arial" w:hAnsi="Arial"/>
          <w:b/>
          <w:bCs/>
          <w:color w:val="3A6EDC"/>
          <w:sz w:val="24"/>
          <w:szCs w:val="24"/>
        </w:rPr>
        <w:t xml:space="preserve">Content Authority</w:t>
      </w:r>
    </w:p>
    <w:p>
      <w:pPr>
        <w:spacing w:after="100" w:before="60"/>
      </w:pPr>
      <w:r>
        <w:rPr>
          <w:rFonts w:ascii="Arial" w:cs="Arial" w:eastAsia="Arial" w:hAnsi="Arial"/>
          <w:color w:val="222244"/>
          <w:sz w:val="22"/>
          <w:szCs w:val="22"/>
        </w:rPr>
        <w:t xml:space="preserve">High-intent search content targeting founder fundraising queries ("how to build a pitch deck," "startup valuation calculator," "investor update template") represents a compounding organic acquisition channel. The content program is planned for Q2 2026 launch, planned for Q2 2026 launch.</w:t>
      </w:r>
    </w:p>
    <w:p>
      <w:pPr>
        <w:pStyle w:val="Heading2"/>
        <w:spacing w:after="120" w:before="280"/>
      </w:pPr>
      <w:r>
        <w:rPr>
          <w:rFonts w:ascii="Arial" w:cs="Arial" w:eastAsia="Arial" w:hAnsi="Arial"/>
          <w:b/>
          <w:bCs/>
          <w:color w:val="1E2761"/>
          <w:sz w:val="28"/>
          <w:szCs w:val="28"/>
        </w:rPr>
        <w:t xml:space="preserve">Pricing Strategy</w:t>
      </w:r>
    </w:p>
    <w:p>
      <w:pPr>
        <w:spacing w:after="100" w:before="60"/>
      </w:pPr>
      <w:r>
        <w:rPr>
          <w:rFonts w:ascii="Arial" w:cs="Arial" w:eastAsia="Arial" w:hAnsi="Arial"/>
          <w:color w:val="222244"/>
          <w:sz w:val="22"/>
          <w:szCs w:val="22"/>
        </w:rPr>
        <w:t xml:space="preserve">VenturePilot operates a three-tier subscription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D0DBFF" w:sz="1"/>
              <w:left w:val="single" w:color="D0DBFF" w:sz="1"/>
              <w:bottom w:val="single" w:color="D0DBFF" w:sz="1"/>
              <w:right w:val="single" w:color="D0DBFF"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60"/>
            <w:tcBorders>
              <w:top w:val="single" w:color="D0DBFF" w:sz="1"/>
              <w:left w:val="single" w:color="D0DBFF" w:sz="1"/>
              <w:bottom w:val="single" w:color="D0DBFF" w:sz="1"/>
              <w:right w:val="single" w:color="D0DBFF"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6240"/>
            <w:tcBorders>
              <w:top w:val="single" w:color="D0DBFF" w:sz="1"/>
              <w:left w:val="single" w:color="D0DBFF" w:sz="1"/>
              <w:bottom w:val="single" w:color="D0DBFF" w:sz="1"/>
              <w:right w:val="single" w:color="D0DBFF"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56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b/>
                <w:bCs/>
                <w:color w:val="1E2761"/>
                <w:sz w:val="20"/>
                <w:szCs w:val="20"/>
              </w:rPr>
              <w:t xml:space="preserve">Pilot</w:t>
            </w:r>
          </w:p>
        </w:tc>
        <w:tc>
          <w:tcPr>
            <w:tcW w:type="dxa" w:w="156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color w:val="3A6EDC"/>
                <w:sz w:val="20"/>
                <w:szCs w:val="20"/>
              </w:rPr>
              <w:t xml:space="preserve">$49/mo</w:t>
            </w:r>
          </w:p>
        </w:tc>
        <w:tc>
          <w:tcPr>
            <w:tcW w:type="dxa" w:w="624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sz w:val="20"/>
                <w:szCs w:val="20"/>
              </w:rPr>
              <w:t xml:space="preserve">Core metrics, live pitch deck, investor tracker</w:t>
            </w:r>
          </w:p>
        </w:tc>
      </w:tr>
      <w:tr>
        <w:tc>
          <w:tcPr>
            <w:tcW w:type="dxa" w:w="156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b/>
                <w:bCs/>
                <w:color w:val="1E2761"/>
                <w:sz w:val="20"/>
                <w:szCs w:val="20"/>
              </w:rPr>
              <w:t xml:space="preserve">Growth</w:t>
            </w:r>
          </w:p>
        </w:tc>
        <w:tc>
          <w:tcPr>
            <w:tcW w:type="dxa" w:w="156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color w:val="3A6EDC"/>
                <w:sz w:val="20"/>
                <w:szCs w:val="20"/>
              </w:rPr>
              <w:t xml:space="preserve">$99/mo</w:t>
            </w:r>
          </w:p>
        </w:tc>
        <w:tc>
          <w:tcPr>
            <w:tcW w:type="dxa" w:w="624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sz w:val="20"/>
                <w:szCs w:val="20"/>
              </w:rPr>
              <w:t xml:space="preserve">All Pilot features + AI generation, business plan, unlimited investor updates, valuation model</w:t>
            </w:r>
          </w:p>
        </w:tc>
      </w:tr>
      <w:tr>
        <w:tc>
          <w:tcPr>
            <w:tcW w:type="dxa" w:w="156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b/>
                <w:bCs/>
                <w:color w:val="1E2761"/>
                <w:sz w:val="20"/>
                <w:szCs w:val="20"/>
              </w:rPr>
              <w:t xml:space="preserve">Studio</w:t>
            </w:r>
          </w:p>
        </w:tc>
        <w:tc>
          <w:tcPr>
            <w:tcW w:type="dxa" w:w="156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color w:val="3A6EDC"/>
                <w:sz w:val="20"/>
                <w:szCs w:val="20"/>
              </w:rPr>
              <w:t xml:space="preserve">$199/mo</w:t>
            </w:r>
          </w:p>
        </w:tc>
        <w:tc>
          <w:tcPr>
            <w:tcW w:type="dxa" w:w="624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sz w:val="20"/>
                <w:szCs w:val="20"/>
              </w:rPr>
              <w:t xml:space="preserve">All Growth features + multi-company, accelerator dashboard, white-label export</w:t>
            </w:r>
          </w:p>
        </w:tc>
      </w:tr>
    </w:tbl>
    <w:p>
      <w:pPr>
        <w:spacing w:after="0" w:before="120"/>
      </w:pPr>
      <w:r>
        <w:t xml:space="preserve"/>
      </w:r>
    </w:p>
    <w:p>
      <w:pPr>
        <w:spacing w:after="100" w:before="60"/>
      </w:pPr>
      <w:r>
        <w:rPr>
          <w:rFonts w:ascii="Arial" w:cs="Arial" w:eastAsia="Arial" w:hAnsi="Arial"/>
          <w:color w:val="222244"/>
          <w:sz w:val="22"/>
          <w:szCs w:val="22"/>
        </w:rPr>
        <w:t xml:space="preserve">Revenue model: monthly subscription. Annual prepay discount planned at 20% in Q3 2026. North Star metric: $50,000 MRR by Q1 2027.</w:t>
      </w:r>
    </w:p>
    <w:p>
      <w:r>
        <w:br w:type="page"/>
      </w:r>
    </w:p>
    <w:p>
      <w:pPr>
        <w:pStyle w:val="Heading1"/>
        <w:pBdr>
          <w:bottom w:val="single" w:color="3A6EDC" w:sz="4" w:space="6"/>
        </w:pBdr>
        <w:spacing w:after="160" w:before="360"/>
      </w:pPr>
      <w:r>
        <w:rPr>
          <w:rFonts w:ascii="Arial" w:cs="Arial" w:eastAsia="Arial" w:hAnsi="Arial"/>
          <w:b/>
          <w:bCs/>
          <w:color w:val="1E2761"/>
          <w:sz w:val="36"/>
          <w:szCs w:val="36"/>
        </w:rPr>
        <w:t xml:space="preserve">5. Launch Plan &amp; Roadmap</w:t>
      </w:r>
    </w:p>
    <w:p>
      <w:pPr>
        <w:pStyle w:val="Heading2"/>
        <w:spacing w:after="120" w:before="280"/>
      </w:pPr>
      <w:r>
        <w:rPr>
          <w:rFonts w:ascii="Arial" w:cs="Arial" w:eastAsia="Arial" w:hAnsi="Arial"/>
          <w:b/>
          <w:bCs/>
          <w:color w:val="1E2761"/>
          <w:sz w:val="28"/>
          <w:szCs w:val="28"/>
        </w:rPr>
        <w:t xml:space="preserve">Current Status</w:t>
      </w:r>
    </w:p>
    <w:p>
      <w:pPr>
        <w:spacing w:after="100" w:before="60"/>
      </w:pPr>
      <w:r>
        <w:rPr>
          <w:rFonts w:ascii="Arial" w:cs="Arial" w:eastAsia="Arial" w:hAnsi="Arial"/>
          <w:color w:val="222244"/>
          <w:sz w:val="22"/>
          <w:szCs w:val="22"/>
        </w:rPr>
        <w:t xml:space="preserve">VenturePilot is pre-revenue and pre-public as of March 2026. The founding team has self-funded through research and MVP development. The product is complete. The focus now is on building early community support, gathering feedback, and preparing for a clean public launch in Q2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BFF" w:sz="1"/>
              <w:left w:val="single" w:color="D0DBFF" w:sz="1"/>
              <w:bottom w:val="single" w:color="D0DBFF" w:sz="1"/>
              <w:right w:val="single" w:color="D0DBFF" w:sz="1"/>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Current Revenue</w:t>
            </w:r>
          </w:p>
        </w:tc>
        <w:tc>
          <w:tcPr>
            <w:tcW w:type="dxa" w:w="468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color w:val="3A6EDC"/>
                <w:sz w:val="20"/>
                <w:szCs w:val="20"/>
              </w:rPr>
              <w:t xml:space="preserve">Pre-revenue (launch Q2 2026)</w:t>
            </w:r>
          </w:p>
        </w:tc>
      </w:tr>
      <w:tr>
        <w:tc>
          <w:tcPr>
            <w:tcW w:type="dxa" w:w="468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b/>
                <w:bCs/>
                <w:color w:val="1E2761"/>
                <w:sz w:val="20"/>
                <w:szCs w:val="20"/>
              </w:rPr>
              <w:t xml:space="preserve">Product Status</w:t>
            </w:r>
          </w:p>
        </w:tc>
        <w:tc>
          <w:tcPr>
            <w:tcW w:type="dxa" w:w="468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color w:val="3A6EDC"/>
                <w:sz w:val="20"/>
                <w:szCs w:val="20"/>
              </w:rPr>
              <w:t xml:space="preserve">MVP complete -- pre-public release, launching Q2 2026</w:t>
            </w:r>
          </w:p>
        </w:tc>
      </w:tr>
      <w:tr>
        <w:tc>
          <w:tcPr>
            <w:tcW w:type="dxa" w:w="4680"/>
            <w:tcBorders>
              <w:top w:val="single" w:color="D0DBFF" w:sz="1"/>
              <w:left w:val="single" w:color="D0DBFF" w:sz="1"/>
              <w:bottom w:val="single" w:color="D0DBFF" w:sz="1"/>
              <w:right w:val="single" w:color="D0DBFF" w:sz="1"/>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Target Gross Margin</w:t>
            </w:r>
          </w:p>
        </w:tc>
        <w:tc>
          <w:tcPr>
            <w:tcW w:type="dxa" w:w="468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color w:val="3A6EDC"/>
                <w:sz w:val="20"/>
                <w:szCs w:val="20"/>
              </w:rPr>
              <w:t xml:space="preserve">85%+ (software delivery model)</w:t>
            </w:r>
          </w:p>
        </w:tc>
      </w:tr>
      <w:tr>
        <w:tc>
          <w:tcPr>
            <w:tcW w:type="dxa" w:w="468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b/>
                <w:bCs/>
                <w:color w:val="1E2761"/>
                <w:sz w:val="20"/>
                <w:szCs w:val="20"/>
              </w:rPr>
              <w:t xml:space="preserve">Projected Monthly Burn (post-launch)</w:t>
            </w:r>
          </w:p>
        </w:tc>
        <w:tc>
          <w:tcPr>
            <w:tcW w:type="dxa" w:w="4680"/>
            <w:tcBorders>
              <w:top w:val="single" w:color="D0DBFF" w:sz="1"/>
              <w:left w:val="single" w:color="D0DBFF" w:sz="1"/>
              <w:bottom w:val="single" w:color="D0DBFF" w:sz="1"/>
              <w:right w:val="single" w:color="D0DBFF" w:sz="1"/>
            </w:tcBorders>
            <w:shd w:fill="F5F8FF" w:val="clear"/>
            <w:tcMar>
              <w:top w:type="dxa" w:w="80"/>
              <w:left w:type="dxa" w:w="120"/>
              <w:bottom w:type="dxa" w:w="80"/>
              <w:right w:type="dxa" w:w="120"/>
            </w:tcMar>
          </w:tcPr>
          <w:p>
            <w:r>
              <w:rPr>
                <w:rFonts w:ascii="Arial" w:cs="Arial" w:eastAsia="Arial" w:hAnsi="Arial"/>
                <w:color w:val="3A6EDC"/>
                <w:sz w:val="20"/>
                <w:szCs w:val="20"/>
              </w:rPr>
              <w:t xml:space="preserve">~$35,000/month (3 engineers + ops)</w:t>
            </w:r>
          </w:p>
        </w:tc>
      </w:tr>
      <w:tr>
        <w:tc>
          <w:tcPr>
            <w:tcW w:type="dxa" w:w="4680"/>
            <w:tcBorders>
              <w:top w:val="single" w:color="D0DBFF" w:sz="1"/>
              <w:left w:val="single" w:color="D0DBFF" w:sz="1"/>
              <w:bottom w:val="single" w:color="D0DBFF" w:sz="1"/>
              <w:right w:val="single" w:color="D0DBFF" w:sz="1"/>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Current Pre-Launch Runway</w:t>
            </w:r>
          </w:p>
        </w:tc>
        <w:tc>
          <w:tcPr>
            <w:tcW w:type="dxa" w:w="4680"/>
            <w:tcBorders>
              <w:top w:val="single" w:color="D0DBFF" w:sz="1"/>
              <w:left w:val="single" w:color="D0DBFF" w:sz="1"/>
              <w:bottom w:val="single" w:color="D0DBFF" w:sz="1"/>
              <w:right w:val="single" w:color="D0DBFF" w:sz="1"/>
            </w:tcBorders>
            <w:tcMar>
              <w:top w:type="dxa" w:w="80"/>
              <w:left w:type="dxa" w:w="120"/>
              <w:bottom w:type="dxa" w:w="80"/>
              <w:right w:type="dxa" w:w="120"/>
            </w:tcMar>
          </w:tcPr>
          <w:p>
            <w:r>
              <w:rPr>
                <w:rFonts w:ascii="Arial" w:cs="Arial" w:eastAsia="Arial" w:hAnsi="Arial"/>
                <w:color w:val="3A6EDC"/>
                <w:sz w:val="20"/>
                <w:szCs w:val="20"/>
              </w:rPr>
              <w:t xml:space="preserve">18+ months</w:t>
            </w:r>
          </w:p>
        </w:tc>
      </w:tr>
    </w:tbl>
    <w:p>
      <w:pPr>
        <w:spacing w:after="0" w:before="160"/>
      </w:pPr>
      <w:r>
        <w:t xml:space="preserve"/>
      </w:r>
    </w:p>
    <w:p>
      <w:pPr>
        <w:pStyle w:val="Heading2"/>
        <w:spacing w:after="120" w:before="280"/>
      </w:pPr>
      <w:r>
        <w:rPr>
          <w:rFonts w:ascii="Arial" w:cs="Arial" w:eastAsia="Arial" w:hAnsi="Arial"/>
          <w:b/>
          <w:bCs/>
          <w:color w:val="1E2761"/>
          <w:sz w:val="28"/>
          <w:szCs w:val="28"/>
        </w:rPr>
        <w:t xml:space="preserve">Roadmap</w:t>
      </w:r>
    </w:p>
    <w:p>
      <w:pPr>
        <w:spacing w:after="100" w:before="60"/>
      </w:pPr>
      <w:r>
        <w:rPr>
          <w:rFonts w:ascii="Arial" w:cs="Arial" w:eastAsia="Arial" w:hAnsi="Arial"/>
          <w:color w:val="222244"/>
          <w:sz w:val="22"/>
          <w:szCs w:val="22"/>
        </w:rPr>
        <w:t xml:space="preserve">The roadmap is focused, phased, and executable with the current team. Each phase builds on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80"/>
        <w:gridCol w:w="5400"/>
      </w:tblGrid>
      <w:tr>
        <w:tc>
          <w:tcPr>
            <w:tcW w:type="dxa" w:w="168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20"/>
                <w:szCs w:val="20"/>
              </w:rPr>
              <w:t xml:space="preserve">Phase</w:t>
            </w:r>
          </w:p>
        </w:tc>
        <w:tc>
          <w:tcPr>
            <w:tcW w:type="dxa" w:w="228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20"/>
                <w:szCs w:val="20"/>
              </w:rPr>
              <w:t xml:space="preserve">Timeline</w:t>
            </w:r>
          </w:p>
        </w:tc>
        <w:tc>
          <w:tcPr>
            <w:tcW w:type="dxa" w:w="540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20"/>
                <w:szCs w:val="20"/>
              </w:rPr>
              <w:t xml:space="preserve">Milestones</w:t>
            </w:r>
          </w:p>
        </w:tc>
      </w:tr>
      <w:tr>
        <w:tc>
          <w:tcPr>
            <w:tcW w:type="dxa" w:w="1680"/>
            <w:tcBorders>
              <w:top w:val="single" w:color="D0DBFF" w:sz="1"/>
              <w:left w:val="single" w:color="D0DBFF" w:sz="1"/>
              <w:bottom w:val="single" w:color="D0DBFF" w:sz="1"/>
              <w:right w:val="single" w:color="D0DBFF" w:sz="1"/>
            </w:tcBorders>
            <w:shd w:fill="EEF2FF" w:val="clear"/>
            <w:tcMar>
              <w:top w:type="dxa" w:w="70"/>
              <w:left w:type="dxa" w:w="100"/>
              <w:bottom w:type="dxa" w:w="70"/>
              <w:right w:type="dxa" w:w="80"/>
            </w:tcMar>
          </w:tcPr>
          <w:p>
            <w:r>
              <w:rPr>
                <w:rFonts w:ascii="Arial" w:cs="Arial" w:eastAsia="Arial" w:hAnsi="Arial"/>
                <w:b/>
                <w:bCs/>
                <w:color w:val="1E2761"/>
                <w:sz w:val="20"/>
                <w:szCs w:val="20"/>
              </w:rPr>
              <w:t xml:space="preserve">01</w:t>
            </w:r>
          </w:p>
        </w:tc>
        <w:tc>
          <w:tcPr>
            <w:tcW w:type="dxa" w:w="2280"/>
            <w:tcBorders>
              <w:top w:val="single" w:color="D0DBFF" w:sz="1"/>
              <w:left w:val="single" w:color="D0DBFF" w:sz="1"/>
              <w:bottom w:val="single" w:color="D0DBFF" w:sz="1"/>
              <w:right w:val="single" w:color="D0DBFF" w:sz="1"/>
            </w:tcBorders>
            <w:shd w:fill="EEF2FF" w:val="clear"/>
            <w:tcMar>
              <w:top w:type="dxa" w:w="70"/>
              <w:left w:type="dxa" w:w="100"/>
              <w:bottom w:type="dxa" w:w="70"/>
              <w:right w:type="dxa" w:w="80"/>
            </w:tcMar>
          </w:tcPr>
          <w:p>
            <w:r>
              <w:rPr>
                <w:rFonts w:ascii="Arial" w:cs="Arial" w:eastAsia="Arial" w:hAnsi="Arial"/>
                <w:b w:val="false"/>
                <w:bCs w:val="false"/>
                <w:color w:val="3A6EDC"/>
                <w:sz w:val="20"/>
                <w:szCs w:val="20"/>
              </w:rPr>
              <w:t xml:space="preserve">Now — Q2 2026</w:t>
            </w:r>
          </w:p>
        </w:tc>
        <w:tc>
          <w:tcPr>
            <w:tcW w:type="dxa" w:w="5400"/>
            <w:tcBorders>
              <w:top w:val="single" w:color="D0DBFF" w:sz="1"/>
              <w:left w:val="single" w:color="D0DBFF" w:sz="1"/>
              <w:bottom w:val="single" w:color="D0DBFF" w:sz="1"/>
              <w:right w:val="single" w:color="D0DBFF" w:sz="1"/>
            </w:tcBorders>
            <w:shd w:fill="EEF2FF" w:val="clear"/>
            <w:tcMar>
              <w:top w:type="dxa" w:w="70"/>
              <w:left w:type="dxa" w:w="100"/>
              <w:bottom w:type="dxa" w:w="70"/>
              <w:right w:type="dxa" w:w="80"/>
            </w:tcMar>
          </w:tcPr>
          <w:p>
            <w:r>
              <w:rPr>
                <w:rFonts w:ascii="Arial" w:cs="Arial" w:eastAsia="Arial" w:hAnsi="Arial"/>
                <w:b w:val="false"/>
                <w:bCs w:val="false"/>
                <w:color w:val="445577"/>
                <w:sz w:val="20"/>
                <w:szCs w:val="20"/>
              </w:rPr>
              <w:t xml:space="preserve">Early supporters, product feedback, accelerator introductions, community seeding</w:t>
            </w:r>
          </w:p>
        </w:tc>
      </w:tr>
      <w:tr>
        <w:tc>
          <w:tcPr>
            <w:tcW w:type="dxa" w:w="1680"/>
            <w:tcBorders>
              <w:top w:val="single" w:color="D0DBFF" w:sz="1"/>
              <w:left w:val="single" w:color="D0DBFF" w:sz="1"/>
              <w:bottom w:val="single" w:color="D0DBFF" w:sz="1"/>
              <w:right w:val="single" w:color="D0DBFF" w:sz="1"/>
            </w:tcBorders>
            <w:tcMar>
              <w:top w:type="dxa" w:w="70"/>
              <w:left w:type="dxa" w:w="100"/>
              <w:bottom w:type="dxa" w:w="70"/>
              <w:right w:type="dxa" w:w="80"/>
            </w:tcMar>
          </w:tcPr>
          <w:p>
            <w:r>
              <w:rPr>
                <w:rFonts w:ascii="Arial" w:cs="Arial" w:eastAsia="Arial" w:hAnsi="Arial"/>
                <w:b/>
                <w:bCs/>
                <w:color w:val="1E2761"/>
                <w:sz w:val="20"/>
                <w:szCs w:val="20"/>
              </w:rPr>
              <w:t xml:space="preserve">02</w:t>
            </w:r>
          </w:p>
        </w:tc>
        <w:tc>
          <w:tcPr>
            <w:tcW w:type="dxa" w:w="2280"/>
            <w:tcBorders>
              <w:top w:val="single" w:color="D0DBFF" w:sz="1"/>
              <w:left w:val="single" w:color="D0DBFF" w:sz="1"/>
              <w:bottom w:val="single" w:color="D0DBFF" w:sz="1"/>
              <w:right w:val="single" w:color="D0DBFF" w:sz="1"/>
            </w:tcBorders>
            <w:tcMar>
              <w:top w:type="dxa" w:w="70"/>
              <w:left w:type="dxa" w:w="100"/>
              <w:bottom w:type="dxa" w:w="70"/>
              <w:right w:type="dxa" w:w="80"/>
            </w:tcMar>
          </w:tcPr>
          <w:p>
            <w:r>
              <w:rPr>
                <w:rFonts w:ascii="Arial" w:cs="Arial" w:eastAsia="Arial" w:hAnsi="Arial"/>
                <w:b w:val="false"/>
                <w:bCs w:val="false"/>
                <w:color w:val="3A6EDC"/>
                <w:sz w:val="20"/>
                <w:szCs w:val="20"/>
              </w:rPr>
              <w:t xml:space="preserve">Q2 2026</w:t>
            </w:r>
          </w:p>
        </w:tc>
        <w:tc>
          <w:tcPr>
            <w:tcW w:type="dxa" w:w="5400"/>
            <w:tcBorders>
              <w:top w:val="single" w:color="D0DBFF" w:sz="1"/>
              <w:left w:val="single" w:color="D0DBFF" w:sz="1"/>
              <w:bottom w:val="single" w:color="D0DBFF" w:sz="1"/>
              <w:right w:val="single" w:color="D0DBFF" w:sz="1"/>
            </w:tcBorders>
            <w:tcMar>
              <w:top w:type="dxa" w:w="70"/>
              <w:left w:type="dxa" w:w="100"/>
              <w:bottom w:type="dxa" w:w="70"/>
              <w:right w:type="dxa" w:w="80"/>
            </w:tcMar>
          </w:tcPr>
          <w:p>
            <w:r>
              <w:rPr>
                <w:rFonts w:ascii="Arial" w:cs="Arial" w:eastAsia="Arial" w:hAnsi="Arial"/>
                <w:b w:val="false"/>
                <w:bCs w:val="false"/>
                <w:color w:val="445577"/>
                <w:sz w:val="20"/>
                <w:szCs w:val="20"/>
              </w:rPr>
              <w:t xml:space="preserve">Public launch, open access, PLG flywheel activation, first paying customers</w:t>
            </w:r>
          </w:p>
        </w:tc>
      </w:tr>
      <w:tr>
        <w:tc>
          <w:tcPr>
            <w:tcW w:type="dxa" w:w="1680"/>
            <w:tcBorders>
              <w:top w:val="single" w:color="D0DBFF" w:sz="1"/>
              <w:left w:val="single" w:color="D0DBFF" w:sz="1"/>
              <w:bottom w:val="single" w:color="D0DBFF" w:sz="1"/>
              <w:right w:val="single" w:color="D0DBFF" w:sz="1"/>
            </w:tcBorders>
            <w:shd w:fill="EEF2FF" w:val="clear"/>
            <w:tcMar>
              <w:top w:type="dxa" w:w="70"/>
              <w:left w:type="dxa" w:w="100"/>
              <w:bottom w:type="dxa" w:w="70"/>
              <w:right w:type="dxa" w:w="80"/>
            </w:tcMar>
          </w:tcPr>
          <w:p>
            <w:r>
              <w:rPr>
                <w:rFonts w:ascii="Arial" w:cs="Arial" w:eastAsia="Arial" w:hAnsi="Arial"/>
                <w:b/>
                <w:bCs/>
                <w:color w:val="1E2761"/>
                <w:sz w:val="20"/>
                <w:szCs w:val="20"/>
              </w:rPr>
              <w:t xml:space="preserve">03</w:t>
            </w:r>
          </w:p>
        </w:tc>
        <w:tc>
          <w:tcPr>
            <w:tcW w:type="dxa" w:w="2280"/>
            <w:tcBorders>
              <w:top w:val="single" w:color="D0DBFF" w:sz="1"/>
              <w:left w:val="single" w:color="D0DBFF" w:sz="1"/>
              <w:bottom w:val="single" w:color="D0DBFF" w:sz="1"/>
              <w:right w:val="single" w:color="D0DBFF" w:sz="1"/>
            </w:tcBorders>
            <w:shd w:fill="EEF2FF" w:val="clear"/>
            <w:tcMar>
              <w:top w:type="dxa" w:w="70"/>
              <w:left w:type="dxa" w:w="100"/>
              <w:bottom w:type="dxa" w:w="70"/>
              <w:right w:type="dxa" w:w="80"/>
            </w:tcMar>
          </w:tcPr>
          <w:p>
            <w:r>
              <w:rPr>
                <w:rFonts w:ascii="Arial" w:cs="Arial" w:eastAsia="Arial" w:hAnsi="Arial"/>
                <w:b w:val="false"/>
                <w:bCs w:val="false"/>
                <w:color w:val="3A6EDC"/>
                <w:sz w:val="20"/>
                <w:szCs w:val="20"/>
              </w:rPr>
              <w:t xml:space="preserve">Q3 2026</w:t>
            </w:r>
          </w:p>
        </w:tc>
        <w:tc>
          <w:tcPr>
            <w:tcW w:type="dxa" w:w="5400"/>
            <w:tcBorders>
              <w:top w:val="single" w:color="D0DBFF" w:sz="1"/>
              <w:left w:val="single" w:color="D0DBFF" w:sz="1"/>
              <w:bottom w:val="single" w:color="D0DBFF" w:sz="1"/>
              <w:right w:val="single" w:color="D0DBFF" w:sz="1"/>
            </w:tcBorders>
            <w:shd w:fill="EEF2FF" w:val="clear"/>
            <w:tcMar>
              <w:top w:type="dxa" w:w="70"/>
              <w:left w:type="dxa" w:w="100"/>
              <w:bottom w:type="dxa" w:w="70"/>
              <w:right w:type="dxa" w:w="80"/>
            </w:tcMar>
          </w:tcPr>
          <w:p>
            <w:r>
              <w:rPr>
                <w:rFonts w:ascii="Arial" w:cs="Arial" w:eastAsia="Arial" w:hAnsi="Arial"/>
                <w:b w:val="false"/>
                <w:bCs w:val="false"/>
                <w:color w:val="445577"/>
                <w:sz w:val="20"/>
                <w:szCs w:val="20"/>
              </w:rPr>
              <w:t xml:space="preserve">QuickBooks + Stripe live data integrations, AI benchmark layer v2, mobile companion</w:t>
            </w:r>
          </w:p>
        </w:tc>
      </w:tr>
      <w:tr>
        <w:tc>
          <w:tcPr>
            <w:tcW w:type="dxa" w:w="1680"/>
            <w:tcBorders>
              <w:top w:val="single" w:color="D0DBFF" w:sz="1"/>
              <w:left w:val="single" w:color="D0DBFF" w:sz="1"/>
              <w:bottom w:val="single" w:color="D0DBFF" w:sz="1"/>
              <w:right w:val="single" w:color="D0DBFF" w:sz="1"/>
            </w:tcBorders>
            <w:tcMar>
              <w:top w:type="dxa" w:w="70"/>
              <w:left w:type="dxa" w:w="100"/>
              <w:bottom w:type="dxa" w:w="70"/>
              <w:right w:type="dxa" w:w="80"/>
            </w:tcMar>
          </w:tcPr>
          <w:p>
            <w:r>
              <w:rPr>
                <w:rFonts w:ascii="Arial" w:cs="Arial" w:eastAsia="Arial" w:hAnsi="Arial"/>
                <w:b/>
                <w:bCs/>
                <w:color w:val="1E2761"/>
                <w:sz w:val="20"/>
                <w:szCs w:val="20"/>
              </w:rPr>
              <w:t xml:space="preserve">04</w:t>
            </w:r>
          </w:p>
        </w:tc>
        <w:tc>
          <w:tcPr>
            <w:tcW w:type="dxa" w:w="2280"/>
            <w:tcBorders>
              <w:top w:val="single" w:color="D0DBFF" w:sz="1"/>
              <w:left w:val="single" w:color="D0DBFF" w:sz="1"/>
              <w:bottom w:val="single" w:color="D0DBFF" w:sz="1"/>
              <w:right w:val="single" w:color="D0DBFF" w:sz="1"/>
            </w:tcBorders>
            <w:tcMar>
              <w:top w:type="dxa" w:w="70"/>
              <w:left w:type="dxa" w:w="100"/>
              <w:bottom w:type="dxa" w:w="70"/>
              <w:right w:type="dxa" w:w="80"/>
            </w:tcMar>
          </w:tcPr>
          <w:p>
            <w:r>
              <w:rPr>
                <w:rFonts w:ascii="Arial" w:cs="Arial" w:eastAsia="Arial" w:hAnsi="Arial"/>
                <w:b w:val="false"/>
                <w:bCs w:val="false"/>
                <w:color w:val="3A6EDC"/>
                <w:sz w:val="20"/>
                <w:szCs w:val="20"/>
              </w:rPr>
              <w:t xml:space="preserve">Q4 2026</w:t>
            </w:r>
          </w:p>
        </w:tc>
        <w:tc>
          <w:tcPr>
            <w:tcW w:type="dxa" w:w="5400"/>
            <w:tcBorders>
              <w:top w:val="single" w:color="D0DBFF" w:sz="1"/>
              <w:left w:val="single" w:color="D0DBFF" w:sz="1"/>
              <w:bottom w:val="single" w:color="D0DBFF" w:sz="1"/>
              <w:right w:val="single" w:color="D0DBFF" w:sz="1"/>
            </w:tcBorders>
            <w:tcMar>
              <w:top w:type="dxa" w:w="70"/>
              <w:left w:type="dxa" w:w="100"/>
              <w:bottom w:type="dxa" w:w="70"/>
              <w:right w:type="dxa" w:w="80"/>
            </w:tcMar>
          </w:tcPr>
          <w:p>
            <w:r>
              <w:rPr>
                <w:rFonts w:ascii="Arial" w:cs="Arial" w:eastAsia="Arial" w:hAnsi="Arial"/>
                <w:b w:val="false"/>
                <w:bCs w:val="false"/>
                <w:color w:val="445577"/>
                <w:sz w:val="20"/>
                <w:szCs w:val="20"/>
              </w:rPr>
              <w:t xml:space="preserve">Multi-company accelerator dashboard, white-label export, content and community program</w:t>
            </w:r>
          </w:p>
        </w:tc>
      </w:tr>
    </w:tbl>
    <w:p>
      <w:pPr>
        <w:spacing w:after="0" w:before="160"/>
      </w:pPr>
      <w:r>
        <w:t xml:space="preserve"/>
      </w:r>
    </w:p>
    <w:p>
      <w:pPr>
        <w:pStyle w:val="Heading2"/>
        <w:spacing w:after="120" w:before="280"/>
      </w:pPr>
      <w:r>
        <w:rPr>
          <w:rFonts w:ascii="Arial" w:cs="Arial" w:eastAsia="Arial" w:hAnsi="Arial"/>
          <w:b/>
          <w:bCs/>
          <w:color w:val="1E2761"/>
          <w:sz w:val="28"/>
          <w:szCs w:val="28"/>
        </w:rPr>
        <w:t xml:space="preserve">How to Get Involved</w:t>
      </w:r>
    </w:p>
    <w:p>
      <w:pPr>
        <w:spacing w:after="100" w:before="60"/>
      </w:pPr>
      <w:r>
        <w:rPr>
          <w:rFonts w:ascii="Arial" w:cs="Arial" w:eastAsia="Arial" w:hAnsi="Arial"/>
          <w:color w:val="222244"/>
          <w:sz w:val="22"/>
          <w:szCs w:val="22"/>
        </w:rPr>
        <w:t xml:space="preserve">The team is actively looking for early supporters ahead of the public launch:</w:t>
      </w:r>
    </w:p>
    <w:p>
      <w:pPr>
        <w:pStyle w:val="ListParagraph"/>
        <w:numPr>
          <w:ilvl w:val="0"/>
          <w:numId w:val="2"/>
        </w:numPr>
        <w:spacing w:after="40" w:before="40"/>
      </w:pPr>
      <w:r>
        <w:rPr>
          <w:rFonts w:ascii="Arial" w:cs="Arial" w:eastAsia="Arial" w:hAnsi="Arial"/>
          <w:b w:val="false"/>
          <w:bCs w:val="false"/>
          <w:color w:val="222244"/>
          <w:sz w:val="22"/>
          <w:szCs w:val="22"/>
        </w:rPr>
        <w:t xml:space="preserve">Founders who want early access to try the product and provide feedback before the public release</w:t>
      </w:r>
    </w:p>
    <w:p>
      <w:pPr>
        <w:pStyle w:val="ListParagraph"/>
        <w:numPr>
          <w:ilvl w:val="0"/>
          <w:numId w:val="2"/>
        </w:numPr>
        <w:spacing w:after="40" w:before="40"/>
      </w:pPr>
      <w:r>
        <w:rPr>
          <w:rFonts w:ascii="Arial" w:cs="Arial" w:eastAsia="Arial" w:hAnsi="Arial"/>
          <w:b w:val="false"/>
          <w:bCs w:val="false"/>
          <w:color w:val="222244"/>
          <w:sz w:val="22"/>
          <w:szCs w:val="22"/>
        </w:rPr>
        <w:t xml:space="preserve">Connectors who can make introductions to accelerator programs or founder communities</w:t>
      </w:r>
    </w:p>
    <w:p>
      <w:pPr>
        <w:pStyle w:val="ListParagraph"/>
        <w:numPr>
          <w:ilvl w:val="0"/>
          <w:numId w:val="2"/>
        </w:numPr>
        <w:spacing w:after="40" w:before="40"/>
      </w:pPr>
      <w:r>
        <w:rPr>
          <w:rFonts w:ascii="Arial" w:cs="Arial" w:eastAsia="Arial" w:hAnsi="Arial"/>
          <w:b w:val="false"/>
          <w:bCs w:val="false"/>
          <w:color w:val="222244"/>
          <w:sz w:val="22"/>
          <w:szCs w:val="22"/>
        </w:rPr>
        <w:t xml:space="preserve">GTM preparation — activating accelerator partnerships, building content authority, and mapping the initial outreach sequence</w:t>
      </w:r>
    </w:p>
    <w:p>
      <w:r>
        <w:br w:type="page"/>
      </w:r>
    </w:p>
    <w:p>
      <w:pPr>
        <w:pStyle w:val="Heading1"/>
        <w:pBdr>
          <w:bottom w:val="single" w:color="3A6EDC" w:sz="4" w:space="6"/>
        </w:pBdr>
        <w:spacing w:after="160" w:before="360"/>
      </w:pPr>
      <w:r>
        <w:rPr>
          <w:rFonts w:ascii="Arial" w:cs="Arial" w:eastAsia="Arial" w:hAnsi="Arial"/>
          <w:b/>
          <w:bCs/>
          <w:color w:val="1E2761"/>
          <w:sz w:val="36"/>
          <w:szCs w:val="36"/>
        </w:rPr>
        <w:t xml:space="preserve">6. Team &amp; Organization</w:t>
      </w:r>
    </w:p>
    <w:p>
      <w:pPr>
        <w:pStyle w:val="Heading2"/>
        <w:spacing w:after="120" w:before="280"/>
      </w:pPr>
      <w:r>
        <w:rPr>
          <w:rFonts w:ascii="Arial" w:cs="Arial" w:eastAsia="Arial" w:hAnsi="Arial"/>
          <w:b/>
          <w:bCs/>
          <w:color w:val="1E2761"/>
          <w:sz w:val="28"/>
          <w:szCs w:val="28"/>
        </w:rPr>
        <w:t xml:space="preserve">Founding Team</w:t>
      </w:r>
    </w:p>
    <w:p>
      <w:pPr>
        <w:pStyle w:val="Heading3"/>
        <w:spacing w:after="80" w:before="200"/>
      </w:pPr>
      <w:r>
        <w:rPr>
          <w:rFonts w:ascii="Arial" w:cs="Arial" w:eastAsia="Arial" w:hAnsi="Arial"/>
          <w:b/>
          <w:bCs/>
          <w:color w:val="3A6EDC"/>
          <w:sz w:val="24"/>
          <w:szCs w:val="24"/>
        </w:rPr>
        <w:t xml:space="preserve">Ness Gelman — Co-Founder</w:t>
      </w:r>
    </w:p>
    <w:p>
      <w:pPr>
        <w:spacing w:after="100" w:before="60"/>
      </w:pPr>
      <w:r>
        <w:rPr>
          <w:rFonts w:ascii="Arial" w:cs="Arial" w:eastAsia="Arial" w:hAnsi="Arial"/>
          <w:color w:val="222244"/>
          <w:sz w:val="22"/>
          <w:szCs w:val="22"/>
        </w:rPr>
        <w:t xml:space="preserve">Ness brings direct domain expertise to VenturePilot, having experienced the fundraising preparation problem firsthand across multiple years building B2B software products. Ness leads product vision, architecture, and engineering execution — driving the MVP from concept to a fully operational platform that is pre-public and launch-ready.</w:t>
      </w:r>
    </w:p>
    <w:p>
      <w:pPr>
        <w:pStyle w:val="Heading3"/>
        <w:spacing w:after="80" w:before="200"/>
      </w:pPr>
      <w:r>
        <w:rPr>
          <w:rFonts w:ascii="Arial" w:cs="Arial" w:eastAsia="Arial" w:hAnsi="Arial"/>
          <w:b/>
          <w:bCs/>
          <w:color w:val="3A6EDC"/>
          <w:sz w:val="24"/>
          <w:szCs w:val="24"/>
        </w:rPr>
        <w:t xml:space="preserve">Joseph — Co-Founder</w:t>
      </w:r>
    </w:p>
    <w:p>
      <w:pPr>
        <w:spacing w:after="100" w:before="60"/>
      </w:pPr>
      <w:r>
        <w:rPr>
          <w:rFonts w:ascii="Arial" w:cs="Arial" w:eastAsia="Arial" w:hAnsi="Arial"/>
          <w:color w:val="222244"/>
          <w:sz w:val="22"/>
          <w:szCs w:val="22"/>
        </w:rPr>
        <w:t xml:space="preserve">Joseph brings go-to-market expertise and a deep network in the founder ecosystem. Joseph leads distribution strategy, community relationships, and the accelerator partnership conversations already underway. The combination of product depth and GTM reach is the founding team's core advantage going into launch.</w:t>
      </w:r>
    </w:p>
    <w:p>
      <w:pPr>
        <w:pStyle w:val="Heading2"/>
        <w:spacing w:after="120" w:before="280"/>
      </w:pPr>
      <w:r>
        <w:rPr>
          <w:rFonts w:ascii="Arial" w:cs="Arial" w:eastAsia="Arial" w:hAnsi="Arial"/>
          <w:b/>
          <w:bCs/>
          <w:color w:val="1E2761"/>
          <w:sz w:val="28"/>
          <w:szCs w:val="28"/>
        </w:rPr>
        <w:t xml:space="preserve">Team Composition</w:t>
      </w:r>
    </w:p>
    <w:p>
      <w:pPr>
        <w:spacing w:after="40" w:before="40"/>
      </w:pPr>
      <w:r>
        <w:rPr>
          <w:rFonts w:ascii="Arial" w:cs="Arial" w:eastAsia="Arial" w:hAnsi="Arial"/>
          <w:b/>
          <w:bCs/>
          <w:color w:val="1E2761"/>
          <w:sz w:val="22"/>
          <w:szCs w:val="22"/>
        </w:rPr>
        <w:t xml:space="preserve">Team Size:  </w:t>
      </w:r>
      <w:r>
        <w:rPr>
          <w:rFonts w:ascii="Arial" w:cs="Arial" w:eastAsia="Arial" w:hAnsi="Arial"/>
          <w:color w:val="222244"/>
          <w:sz w:val="22"/>
          <w:szCs w:val="22"/>
        </w:rPr>
        <w:t xml:space="preserve">2 co-founders</w:t>
      </w:r>
    </w:p>
    <w:p>
      <w:pPr>
        <w:spacing w:after="40" w:before="40"/>
      </w:pPr>
      <w:r>
        <w:rPr>
          <w:rFonts w:ascii="Arial" w:cs="Arial" w:eastAsia="Arial" w:hAnsi="Arial"/>
          <w:b/>
          <w:bCs/>
          <w:color w:val="1E2761"/>
          <w:sz w:val="22"/>
          <w:szCs w:val="22"/>
        </w:rPr>
        <w:t xml:space="preserve">Current Structure:  </w:t>
      </w:r>
      <w:r>
        <w:rPr>
          <w:rFonts w:ascii="Arial" w:cs="Arial" w:eastAsia="Arial" w:hAnsi="Arial"/>
          <w:color w:val="222244"/>
          <w:sz w:val="22"/>
          <w:szCs w:val="22"/>
        </w:rPr>
        <w:t xml:space="preserve">Product &amp; engineering (Ness), Growth &amp; GTM (Joseph), Design, Infrastructure</w:t>
      </w:r>
    </w:p>
    <w:p>
      <w:pPr>
        <w:spacing w:after="40" w:before="40"/>
      </w:pPr>
      <w:r>
        <w:rPr>
          <w:rFonts w:ascii="Arial" w:cs="Arial" w:eastAsia="Arial" w:hAnsi="Arial"/>
          <w:b/>
          <w:bCs/>
          <w:color w:val="1E2761"/>
          <w:sz w:val="22"/>
          <w:szCs w:val="22"/>
        </w:rPr>
        <w:t xml:space="preserve">Planned Hires:  </w:t>
      </w:r>
      <w:r>
        <w:rPr>
          <w:rFonts w:ascii="Arial" w:cs="Arial" w:eastAsia="Arial" w:hAnsi="Arial"/>
          <w:color w:val="222244"/>
          <w:sz w:val="22"/>
          <w:szCs w:val="22"/>
        </w:rPr>
        <w:t xml:space="preserve">Senior Full-Stack Engineer × 2, Growth Lead × 1 (post-launch target)</w:t>
      </w:r>
    </w:p>
    <w:p>
      <w:pPr>
        <w:pStyle w:val="Heading2"/>
        <w:spacing w:after="120" w:before="280"/>
      </w:pPr>
      <w:r>
        <w:rPr>
          <w:rFonts w:ascii="Arial" w:cs="Arial" w:eastAsia="Arial" w:hAnsi="Arial"/>
          <w:b/>
          <w:bCs/>
          <w:color w:val="1E2761"/>
          <w:sz w:val="28"/>
          <w:szCs w:val="28"/>
        </w:rPr>
        <w:t xml:space="preserve">Advisory Network</w:t>
      </w:r>
    </w:p>
    <w:p>
      <w:pPr>
        <w:spacing w:after="100" w:before="60"/>
      </w:pPr>
      <w:r>
        <w:rPr>
          <w:rFonts w:ascii="Arial" w:cs="Arial" w:eastAsia="Arial" w:hAnsi="Arial"/>
          <w:color w:val="222244"/>
          <w:sz w:val="22"/>
          <w:szCs w:val="22"/>
        </w:rPr>
        <w:t xml:space="preserve">VenturePilot is actively building its advisor network ahead of launch. Target advisors include former accelerator program directors with portfolio distribution relationships, enterprise SaaS operators who have scaled PLG motions from early-stage, and domain experts in the founder tooling space. Initial conversations are underway.</w:t>
      </w:r>
    </w:p>
    <w:p>
      <w:r>
        <w:br w:type="page"/>
      </w:r>
    </w:p>
    <w:p>
      <w:pPr>
        <w:pStyle w:val="Heading1"/>
        <w:pBdr>
          <w:bottom w:val="single" w:color="3A6EDC" w:sz="4" w:space="6"/>
        </w:pBdr>
        <w:spacing w:after="160" w:before="360"/>
      </w:pPr>
      <w:r>
        <w:rPr>
          <w:rFonts w:ascii="Arial" w:cs="Arial" w:eastAsia="Arial" w:hAnsi="Arial"/>
          <w:b/>
          <w:bCs/>
          <w:color w:val="1E2761"/>
          <w:sz w:val="36"/>
          <w:szCs w:val="36"/>
        </w:rPr>
        <w:t xml:space="preserve">7. Risk Factors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c>
          <w:tcPr>
            <w:tcW w:type="dxa" w:w="320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Risk</w:t>
            </w:r>
          </w:p>
        </w:tc>
        <w:tc>
          <w:tcPr>
            <w:tcW w:type="dxa" w:w="130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Severity</w:t>
            </w:r>
          </w:p>
        </w:tc>
        <w:tc>
          <w:tcPr>
            <w:tcW w:type="dxa" w:w="4860"/>
            <w:tcBorders>
              <w:top w:val="single" w:color="D0DBFF" w:sz="1"/>
              <w:left w:val="single" w:color="D0DBFF" w:sz="1"/>
              <w:bottom w:val="single" w:color="D0DBFF" w:sz="1"/>
              <w:right w:val="single" w:color="D0DBFF" w:sz="1"/>
            </w:tcBorders>
            <w:shd w:fill="1E2761" w:val="clear"/>
            <w:tcMar>
              <w:top w:type="dxa" w:w="70"/>
              <w:left w:type="dxa" w:w="100"/>
              <w:bottom w:type="dxa" w:w="70"/>
              <w:right w:type="dxa" w:w="80"/>
            </w:tcMar>
          </w:tcPr>
          <w:p>
            <w:r>
              <w:rPr>
                <w:rFonts w:ascii="Arial" w:cs="Arial" w:eastAsia="Arial" w:hAnsi="Arial"/>
                <w:b/>
                <w:bCs/>
                <w:color w:val="FFFFFF"/>
                <w:sz w:val="18"/>
                <w:szCs w:val="18"/>
              </w:rPr>
              <w:t xml:space="preserve">Mitigation</w:t>
            </w:r>
          </w:p>
        </w:tc>
      </w:tr>
      <w:tr>
        <w:tc>
          <w:tcPr>
            <w:tcW w:type="dxa" w:w="32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Competitor adds comparable AI features</w:t>
            </w:r>
          </w:p>
        </w:tc>
        <w:tc>
          <w:tcPr>
            <w:tcW w:type="dxa" w:w="13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CC3333"/>
                <w:sz w:val="18"/>
                <w:szCs w:val="18"/>
              </w:rPr>
              <w:t xml:space="preserve">High</w:t>
            </w:r>
          </w:p>
        </w:tc>
        <w:tc>
          <w:tcPr>
            <w:tcW w:type="dxa" w:w="48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Data network effects and benchmark IP compound over time; 18–24 month defensibility window from current head start</w:t>
            </w:r>
          </w:p>
        </w:tc>
      </w:tr>
      <w:tr>
        <w:tc>
          <w:tcPr>
            <w:tcW w:type="dxa" w:w="32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Free-to-paid conversion underperforms</w:t>
            </w:r>
          </w:p>
        </w:tc>
        <w:tc>
          <w:tcPr>
            <w:tcW w:type="dxa" w:w="13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CC3333"/>
                <w:sz w:val="18"/>
                <w:szCs w:val="18"/>
              </w:rPr>
              <w:t xml:space="preserve">High</w:t>
            </w:r>
          </w:p>
        </w:tc>
        <w:tc>
          <w:tcPr>
            <w:tcW w:type="dxa" w:w="48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Direct VC/accelerator outbound requires only 5–10 enterprise clients for $100K ARR; does not depend solely on self-serve conversion</w:t>
            </w:r>
          </w:p>
        </w:tc>
      </w:tr>
      <w:tr>
        <w:tc>
          <w:tcPr>
            <w:tcW w:type="dxa" w:w="32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AI inference costs rise unexpectedly</w:t>
            </w:r>
          </w:p>
        </w:tc>
        <w:tc>
          <w:tcPr>
            <w:tcW w:type="dxa" w:w="13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CC7700"/>
                <w:sz w:val="18"/>
                <w:szCs w:val="18"/>
              </w:rPr>
              <w:t xml:space="preserve">Medium</w:t>
            </w:r>
          </w:p>
        </w:tc>
        <w:tc>
          <w:tcPr>
            <w:tcW w:type="dxa" w:w="48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On-device AI via WebGPU eliminates API costs entirely for core features; server AI is supplemental only</w:t>
            </w:r>
          </w:p>
        </w:tc>
      </w:tr>
      <w:tr>
        <w:tc>
          <w:tcPr>
            <w:tcW w:type="dxa" w:w="32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Key-person dependency on founding team</w:t>
            </w:r>
          </w:p>
        </w:tc>
        <w:tc>
          <w:tcPr>
            <w:tcW w:type="dxa" w:w="13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CC7700"/>
                <w:sz w:val="18"/>
                <w:szCs w:val="18"/>
              </w:rPr>
              <w:t xml:space="preserve">Medium</w:t>
            </w:r>
          </w:p>
        </w:tc>
        <w:tc>
          <w:tcPr>
            <w:tcW w:type="dxa" w:w="48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Documentation, modular architecture, and planned engineering hires in Q3 2026 reduce concentration risk</w:t>
            </w:r>
          </w:p>
        </w:tc>
      </w:tr>
      <w:tr>
        <w:tc>
          <w:tcPr>
            <w:tcW w:type="dxa" w:w="32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Browser AI API changes or deprecates</w:t>
            </w:r>
          </w:p>
        </w:tc>
        <w:tc>
          <w:tcPr>
            <w:tcW w:type="dxa" w:w="13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CC7700"/>
                <w:sz w:val="18"/>
                <w:szCs w:val="18"/>
              </w:rPr>
              <w:t xml:space="preserve">Medium</w:t>
            </w:r>
          </w:p>
        </w:tc>
        <w:tc>
          <w:tcPr>
            <w:tcW w:type="dxa" w:w="48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WebLLM provides complete fallback; AI is a capability enhancer, not core infrastructure</w:t>
            </w:r>
          </w:p>
        </w:tc>
      </w:tr>
      <w:tr>
        <w:tc>
          <w:tcPr>
            <w:tcW w:type="dxa" w:w="32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bCs/>
                <w:color w:val="1E2761"/>
                <w:sz w:val="18"/>
                <w:szCs w:val="18"/>
              </w:rPr>
              <w:t xml:space="preserve">Regulatory changes around AI-generated docs</w:t>
            </w:r>
          </w:p>
        </w:tc>
        <w:tc>
          <w:tcPr>
            <w:tcW w:type="dxa" w:w="130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339944"/>
                <w:sz w:val="18"/>
                <w:szCs w:val="18"/>
              </w:rPr>
              <w:t xml:space="preserve">Low</w:t>
            </w:r>
          </w:p>
        </w:tc>
        <w:tc>
          <w:tcPr>
            <w:tcW w:type="dxa" w:w="4860"/>
            <w:tcBorders>
              <w:top w:val="single" w:color="D0DBFF" w:sz="1"/>
              <w:left w:val="single" w:color="D0DBFF" w:sz="1"/>
              <w:bottom w:val="single" w:color="D0DBFF" w:sz="1"/>
              <w:right w:val="single" w:color="D0DBFF" w:sz="1"/>
            </w:tcBorders>
            <w:tcMar>
              <w:top w:type="dxa" w:w="60"/>
              <w:left w:type="dxa" w:w="100"/>
              <w:bottom w:type="dxa" w:w="60"/>
              <w:right w:type="dxa" w:w="80"/>
            </w:tcMar>
          </w:tcPr>
          <w:p>
            <w:r>
              <w:rPr>
                <w:rFonts w:ascii="Arial" w:cs="Arial" w:eastAsia="Arial" w:hAnsi="Arial"/>
                <w:b w:val="false"/>
                <w:bCs w:val="false"/>
                <w:color w:val="222244"/>
                <w:sz w:val="18"/>
                <w:szCs w:val="18"/>
              </w:rPr>
              <w:t xml:space="preserve">All generated content is founder-reviewed before use; platform positions itself as a drafting tool, not an autonomous agent</w:t>
            </w:r>
          </w:p>
        </w:tc>
      </w:tr>
      <w:tr>
        <w:tc>
          <w:tcPr>
            <w:tcW w:type="dxa" w:w="32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bCs/>
                <w:color w:val="1E2761"/>
                <w:sz w:val="18"/>
                <w:szCs w:val="18"/>
              </w:rPr>
              <w:t xml:space="preserve">Technical talent acquisition in SF market</w:t>
            </w:r>
          </w:p>
        </w:tc>
        <w:tc>
          <w:tcPr>
            <w:tcW w:type="dxa" w:w="130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CC7700"/>
                <w:sz w:val="18"/>
                <w:szCs w:val="18"/>
              </w:rPr>
              <w:t xml:space="preserve">Medium</w:t>
            </w:r>
          </w:p>
        </w:tc>
        <w:tc>
          <w:tcPr>
            <w:tcW w:type="dxa" w:w="4860"/>
            <w:tcBorders>
              <w:top w:val="single" w:color="D0DBFF" w:sz="1"/>
              <w:left w:val="single" w:color="D0DBFF" w:sz="1"/>
              <w:bottom w:val="single" w:color="D0DBFF" w:sz="1"/>
              <w:right w:val="single" w:color="D0DBFF" w:sz="1"/>
            </w:tcBorders>
            <w:shd w:fill="EEF6FF" w:val="clear"/>
            <w:tcMar>
              <w:top w:type="dxa" w:w="60"/>
              <w:left w:type="dxa" w:w="100"/>
              <w:bottom w:type="dxa" w:w="60"/>
              <w:right w:type="dxa" w:w="80"/>
            </w:tcMar>
          </w:tcPr>
          <w:p>
            <w:r>
              <w:rPr>
                <w:rFonts w:ascii="Arial" w:cs="Arial" w:eastAsia="Arial" w:hAnsi="Arial"/>
                <w:b w:val="false"/>
                <w:bCs w:val="false"/>
                <w:color w:val="222244"/>
                <w:sz w:val="18"/>
                <w:szCs w:val="18"/>
              </w:rPr>
              <w:t xml:space="preserve">Open-source community attracts contributors; equity-heavy comp packages; remote-first hiring</w:t>
            </w:r>
          </w:p>
        </w:tc>
      </w:tr>
    </w:tbl>
    <w:p>
      <w:r>
        <w:br w:type="page"/>
      </w:r>
    </w:p>
    <w:p>
      <w:pPr>
        <w:pStyle w:val="Heading1"/>
        <w:pBdr>
          <w:bottom w:val="single" w:color="3A6EDC" w:sz="4" w:space="6"/>
        </w:pBdr>
        <w:spacing w:after="160" w:before="360"/>
      </w:pPr>
      <w:r>
        <w:rPr>
          <w:rFonts w:ascii="Arial" w:cs="Arial" w:eastAsia="Arial" w:hAnsi="Arial"/>
          <w:b/>
          <w:bCs/>
          <w:color w:val="1E2761"/>
          <w:sz w:val="36"/>
          <w:szCs w:val="36"/>
        </w:rPr>
        <w:t xml:space="preserve">8. Appendix — Key Metrics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BFF" w:sz="1"/>
              <w:left w:val="single" w:color="D0DBFF" w:sz="1"/>
              <w:bottom w:val="single" w:color="D0DBFF" w:sz="1"/>
              <w:right w:val="single" w:color="D0DBFF"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0DBFF" w:sz="1"/>
              <w:left w:val="single" w:color="D0DBFF" w:sz="1"/>
              <w:bottom w:val="single" w:color="D0DBFF" w:sz="1"/>
              <w:right w:val="single" w:color="D0DBFF"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b/>
                <w:bCs/>
                <w:color w:val="1E2761"/>
                <w:sz w:val="20"/>
                <w:szCs w:val="20"/>
              </w:rPr>
              <w:t xml:space="preserve">Revenue Status</w:t>
            </w:r>
          </w:p>
        </w:tc>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color w:val="3A6EDC"/>
                <w:sz w:val="20"/>
                <w:szCs w:val="20"/>
              </w:rPr>
              <w:t xml:space="preserve">Pre-revenue (launch Q2 2026)</w:t>
            </w:r>
          </w:p>
        </w:tc>
      </w:tr>
      <w:tr>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b/>
                <w:bCs/>
                <w:color w:val="1E2761"/>
                <w:sz w:val="20"/>
                <w:szCs w:val="20"/>
              </w:rPr>
              <w:t xml:space="preserve">Product Status</w:t>
            </w:r>
          </w:p>
        </w:tc>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color w:val="3A6EDC"/>
                <w:sz w:val="20"/>
                <w:szCs w:val="20"/>
              </w:rPr>
              <w:t xml:space="preserve">MVP complete</w:t>
            </w:r>
          </w:p>
        </w:tc>
      </w:tr>
      <w:tr>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b/>
                <w:bCs/>
                <w:color w:val="1E2761"/>
                <w:sz w:val="20"/>
                <w:szCs w:val="20"/>
              </w:rPr>
              <w:t xml:space="preserve">Market Research</w:t>
            </w:r>
          </w:p>
        </w:tc>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color w:val="3A6EDC"/>
                <w:sz w:val="20"/>
                <w:szCs w:val="20"/>
              </w:rPr>
              <w:t xml:space="preserve">Completed (3 ICP segments mapped)</w:t>
            </w:r>
          </w:p>
        </w:tc>
      </w:tr>
      <w:tr>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b/>
                <w:bCs/>
                <w:color w:val="1E2761"/>
                <w:sz w:val="20"/>
                <w:szCs w:val="20"/>
              </w:rPr>
              <w:t xml:space="preserve">Target Gross Margin</w:t>
            </w:r>
          </w:p>
        </w:tc>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color w:val="3A6EDC"/>
                <w:sz w:val="20"/>
                <w:szCs w:val="20"/>
              </w:rPr>
              <w:t xml:space="preserve">85%+</w:t>
            </w:r>
          </w:p>
        </w:tc>
      </w:tr>
      <w:tr>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b/>
                <w:bCs/>
                <w:color w:val="1E2761"/>
                <w:sz w:val="20"/>
                <w:szCs w:val="20"/>
              </w:rPr>
              <w:t xml:space="preserve">Projected ARPU</w:t>
            </w:r>
          </w:p>
        </w:tc>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color w:val="3A6EDC"/>
                <w:sz w:val="20"/>
                <w:szCs w:val="20"/>
              </w:rPr>
              <w:t xml:space="preserve">$99–240/month</w:t>
            </w:r>
          </w:p>
        </w:tc>
      </w:tr>
      <w:tr>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b/>
                <w:bCs/>
                <w:color w:val="1E2761"/>
                <w:sz w:val="20"/>
                <w:szCs w:val="20"/>
              </w:rPr>
              <w:t xml:space="preserve">Projected Monthly Churn</w:t>
            </w:r>
          </w:p>
        </w:tc>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color w:val="3A6EDC"/>
                <w:sz w:val="20"/>
                <w:szCs w:val="20"/>
              </w:rPr>
              <w:t xml:space="preserve">&lt;3%</w:t>
            </w:r>
          </w:p>
        </w:tc>
      </w:tr>
      <w:tr>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b/>
                <w:bCs/>
                <w:color w:val="1E2761"/>
                <w:sz w:val="20"/>
                <w:szCs w:val="20"/>
              </w:rPr>
              <w:t xml:space="preserve">Projected LTV</w:t>
            </w:r>
          </w:p>
        </w:tc>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color w:val="3A6EDC"/>
                <w:sz w:val="20"/>
                <w:szCs w:val="20"/>
              </w:rPr>
              <w:t xml:space="preserve">$5,000+</w:t>
            </w:r>
          </w:p>
        </w:tc>
      </w:tr>
      <w:tr>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b/>
                <w:bCs/>
                <w:color w:val="1E2761"/>
                <w:sz w:val="20"/>
                <w:szCs w:val="20"/>
              </w:rPr>
              <w:t xml:space="preserve">Projected CAC</w:t>
            </w:r>
          </w:p>
        </w:tc>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color w:val="3A6EDC"/>
                <w:sz w:val="20"/>
                <w:szCs w:val="20"/>
              </w:rPr>
              <w:t xml:space="preserve">&lt;$300 (PLG + content)</w:t>
            </w:r>
          </w:p>
        </w:tc>
      </w:tr>
      <w:tr>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b/>
                <w:bCs/>
                <w:color w:val="1E2761"/>
                <w:sz w:val="20"/>
                <w:szCs w:val="20"/>
              </w:rPr>
              <w:t xml:space="preserve">Projected LTV:CAC</w:t>
            </w:r>
          </w:p>
        </w:tc>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color w:val="3A6EDC"/>
                <w:sz w:val="20"/>
                <w:szCs w:val="20"/>
              </w:rPr>
              <w:t xml:space="preserve">&gt;15×</w:t>
            </w:r>
          </w:p>
        </w:tc>
      </w:tr>
      <w:tr>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b/>
                <w:bCs/>
                <w:color w:val="1E2761"/>
                <w:sz w:val="20"/>
                <w:szCs w:val="20"/>
              </w:rPr>
              <w:t xml:space="preserve">Projected Monthly Burn (post-launch)</w:t>
            </w:r>
          </w:p>
        </w:tc>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color w:val="3A6EDC"/>
                <w:sz w:val="20"/>
                <w:szCs w:val="20"/>
              </w:rPr>
              <w:t xml:space="preserve">~$35,000</w:t>
            </w:r>
          </w:p>
        </w:tc>
      </w:tr>
      <w:tr>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b/>
                <w:bCs/>
                <w:color w:val="1E2761"/>
                <w:sz w:val="20"/>
                <w:szCs w:val="20"/>
              </w:rPr>
              <w:t xml:space="preserve">Current Pre-Launch Runway</w:t>
            </w:r>
          </w:p>
        </w:tc>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color w:val="3A6EDC"/>
                <w:sz w:val="20"/>
                <w:szCs w:val="20"/>
              </w:rPr>
              <w:t xml:space="preserve">16+ months</w:t>
            </w:r>
          </w:p>
        </w:tc>
      </w:tr>
      <w:tr>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b/>
                <w:bCs/>
                <w:color w:val="1E2761"/>
                <w:sz w:val="20"/>
                <w:szCs w:val="20"/>
              </w:rPr>
              <w:t xml:space="preserve">Launch Target</w:t>
            </w:r>
          </w:p>
        </w:tc>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color w:val="3A6EDC"/>
                <w:sz w:val="20"/>
                <w:szCs w:val="20"/>
              </w:rPr>
              <w:t xml:space="preserve">Q2 2026 -- public release</w:t>
            </w:r>
          </w:p>
        </w:tc>
      </w:tr>
      <w:tr>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b/>
                <w:bCs/>
                <w:color w:val="1E2761"/>
                <w:sz w:val="20"/>
                <w:szCs w:val="20"/>
              </w:rPr>
              <w:t xml:space="preserve">18-Month MRR Target</w:t>
            </w:r>
          </w:p>
        </w:tc>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color w:val="3A6EDC"/>
                <w:sz w:val="20"/>
                <w:szCs w:val="20"/>
              </w:rPr>
              <w:t xml:space="preserve">$50,000</w:t>
            </w:r>
          </w:p>
        </w:tc>
      </w:tr>
      <w:tr>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b/>
                <w:bCs/>
                <w:color w:val="1E2761"/>
                <w:sz w:val="20"/>
                <w:szCs w:val="20"/>
              </w:rPr>
              <w:t xml:space="preserve">TAM</w:t>
            </w:r>
          </w:p>
        </w:tc>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color w:val="3A6EDC"/>
                <w:sz w:val="20"/>
                <w:szCs w:val="20"/>
              </w:rPr>
              <w:t xml:space="preserve">$15 billion</w:t>
            </w:r>
          </w:p>
        </w:tc>
      </w:tr>
      <w:tr>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b/>
                <w:bCs/>
                <w:color w:val="1E2761"/>
                <w:sz w:val="20"/>
                <w:szCs w:val="20"/>
              </w:rPr>
              <w:t xml:space="preserve">SAM</w:t>
            </w:r>
          </w:p>
        </w:tc>
        <w:tc>
          <w:tcPr>
            <w:tcW w:type="dxa" w:w="4680"/>
            <w:tcBorders>
              <w:top w:val="single" w:color="D0DBFF" w:sz="1"/>
              <w:left w:val="single" w:color="D0DBFF" w:sz="1"/>
              <w:bottom w:val="single" w:color="D0DBFF" w:sz="1"/>
              <w:right w:val="single" w:color="D0DBFF" w:sz="1"/>
            </w:tcBorders>
            <w:shd w:fill="EEF2FF" w:val="clear"/>
            <w:tcMar>
              <w:top w:type="dxa" w:w="60"/>
              <w:left w:type="dxa" w:w="120"/>
              <w:bottom w:type="dxa" w:w="60"/>
              <w:right w:type="dxa" w:w="120"/>
            </w:tcMar>
          </w:tcPr>
          <w:p>
            <w:r>
              <w:rPr>
                <w:rFonts w:ascii="Arial" w:cs="Arial" w:eastAsia="Arial" w:hAnsi="Arial"/>
                <w:color w:val="3A6EDC"/>
                <w:sz w:val="20"/>
                <w:szCs w:val="20"/>
              </w:rPr>
              <w:t xml:space="preserve">$1.5 billion</w:t>
            </w:r>
          </w:p>
        </w:tc>
      </w:tr>
      <w:tr>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b/>
                <w:bCs/>
                <w:color w:val="1E2761"/>
                <w:sz w:val="20"/>
                <w:szCs w:val="20"/>
              </w:rPr>
              <w:t xml:space="preserve">SOM</w:t>
            </w:r>
          </w:p>
        </w:tc>
        <w:tc>
          <w:tcPr>
            <w:tcW w:type="dxa" w:w="4680"/>
            <w:tcBorders>
              <w:top w:val="single" w:color="D0DBFF" w:sz="1"/>
              <w:left w:val="single" w:color="D0DBFF" w:sz="1"/>
              <w:bottom w:val="single" w:color="D0DBFF" w:sz="1"/>
              <w:right w:val="single" w:color="D0DBFF" w:sz="1"/>
            </w:tcBorders>
            <w:tcMar>
              <w:top w:type="dxa" w:w="60"/>
              <w:left w:type="dxa" w:w="120"/>
              <w:bottom w:type="dxa" w:w="60"/>
              <w:right w:type="dxa" w:w="120"/>
            </w:tcMar>
          </w:tcPr>
          <w:p>
            <w:r>
              <w:rPr>
                <w:rFonts w:ascii="Arial" w:cs="Arial" w:eastAsia="Arial" w:hAnsi="Arial"/>
                <w:color w:val="3A6EDC"/>
                <w:sz w:val="20"/>
                <w:szCs w:val="20"/>
              </w:rPr>
              <w:t xml:space="preserve">$75 million</w:t>
            </w:r>
          </w:p>
        </w:tc>
      </w:tr>
    </w:tbl>
    <w:p>
      <w:pPr>
        <w:spacing w:after="0" w:before="200"/>
      </w:pPr>
      <w:r>
        <w:t xml:space="preserve"/>
      </w:r>
    </w:p>
    <w:p>
      <w:pPr>
        <w:spacing w:after="0" w:before="0"/>
        <w:jc w:val="center"/>
      </w:pPr>
      <w:r>
        <w:rPr>
          <w:rFonts w:ascii="Arial" w:cs="Arial" w:eastAsia="Arial" w:hAnsi="Arial"/>
          <w:b/>
          <w:bCs/>
          <w:color w:val="667799"/>
          <w:sz w:val="18"/>
          <w:szCs w:val="18"/>
        </w:rPr>
        <w:t xml:space="preserve">CONFIDENTIAL  ·  </w:t>
      </w:r>
      <w:r>
        <w:rPr>
          <w:rFonts w:ascii="Arial" w:cs="Arial" w:eastAsia="Arial" w:hAnsi="Arial"/>
          <w:color w:val="667799"/>
          <w:sz w:val="18"/>
          <w:szCs w:val="18"/>
        </w:rPr>
        <w:t xml:space="preserve">VenturePilot Inc.  ·  </w:t>
      </w:r>
      <w:r>
        <w:rPr>
          <w:rFonts w:ascii="Arial" w:cs="Arial" w:eastAsia="Arial" w:hAnsi="Arial"/>
          <w:color w:val="3A6EDC"/>
          <w:sz w:val="18"/>
          <w:szCs w:val="18"/>
        </w:rPr>
        <w:t xml:space="preserve">venturepilot.app  ·  </w:t>
      </w:r>
      <w:r>
        <w:rPr>
          <w:rFonts w:ascii="Arial" w:cs="Arial" w:eastAsia="Arial" w:hAnsi="Arial"/>
          <w:color w:val="667799"/>
          <w:sz w:val="18"/>
          <w:szCs w:val="18"/>
        </w:rPr>
        <w:t xml:space="preserve">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6EDC" w:sz="4" w:space="4"/>
      </w:pBdr>
      <w:tabs>
        <w:tab w:val="right" w:pos="9026"/>
      </w:tabs>
    </w:pPr>
    <w:r>
      <w:rPr>
        <w:rFonts w:ascii="Arial" w:cs="Arial" w:eastAsia="Arial" w:hAnsi="Arial"/>
        <w:color w:val="667799"/>
        <w:sz w:val="16"/>
        <w:szCs w:val="16"/>
      </w:rPr>
      <w:t xml:space="preserve">© 2026 VenturePilot Inc. · Confidential &amp; Proprietary  </w:t>
    </w:r>
    <w:r>
      <w:rPr>
        <w:rFonts w:ascii="Arial" w:cs="Arial" w:eastAsia="Arial" w:hAnsi="Arial"/>
        <w:color w:val="667799"/>
        <w:sz w:val="16"/>
        <w:szCs w:val="16"/>
      </w:rPr>
      <w:t xml:space="preserve">	Page </w:t>
    </w:r>
    <w:r>
      <w:rPr>
        <w:rFonts w:ascii="Arial" w:cs="Arial" w:eastAsia="Arial" w:hAnsi="Arial"/>
        <w:color w:val="6677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6EDC" w:sz="4" w:space="4"/>
      </w:pBdr>
      <w:tabs>
        <w:tab w:val="right" w:pos="9026"/>
      </w:tabs>
    </w:pPr>
    <w:r>
      <w:rPr>
        <w:rFonts w:ascii="Arial" w:cs="Arial" w:eastAsia="Arial" w:hAnsi="Arial"/>
        <w:color w:val="667799"/>
        <w:sz w:val="18"/>
        <w:szCs w:val="18"/>
      </w:rPr>
      <w:t xml:space="preserve">VenturePilot — Confidential Business Plan  </w:t>
    </w:r>
    <w:r>
      <w:rPr>
        <w:rFonts w:ascii="Arial" w:cs="Arial" w:eastAsia="Arial" w:hAnsi="Arial"/>
        <w:color w:val="6677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76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76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6ED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2026-03-26T13:28:40.064Z</dcterms:created>
  <dcterms:modified xsi:type="dcterms:W3CDTF">2026-03-26T13:28:40.065Z</dcterms:modified>
</cp:coreProperties>
</file>

<file path=docProps/custom.xml><?xml version="1.0" encoding="utf-8"?>
<Properties xmlns="http://schemas.openxmlformats.org/officeDocument/2006/custom-properties" xmlns:vt="http://schemas.openxmlformats.org/officeDocument/2006/docPropsVTypes"/>
</file>