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jc w:val="center"/>
      </w:pPr>
      <w:r>
        <w:rPr>
          <w:rFonts w:ascii="Calibri" w:hAnsi="Calibri"/>
          <w:b/>
          <w:color w:val="29B6D1"/>
          <w:sz w:val="20"/>
        </w:rPr>
        <w:t>GUIDE DE RÉFÉRENCE</w:t>
      </w:r>
    </w:p>
    <w:p>
      <w:pPr>
        <w:spacing w:after="160"/>
        <w:jc w:val="center"/>
      </w:pPr>
      <w:r>
        <w:rPr>
          <w:rFonts w:ascii="Calibri" w:hAnsi="Calibri"/>
          <w:b/>
          <w:color w:val="162438"/>
          <w:sz w:val="62"/>
        </w:rPr>
        <w:t>Les modules</w:t>
      </w:r>
    </w:p>
    <w:p>
      <w:pPr>
        <w:spacing w:after="560"/>
        <w:jc w:val="center"/>
      </w:pPr>
      <w:r>
        <w:rPr>
          <w:rFonts w:ascii="Calibri" w:hAnsi="Calibri"/>
          <w:color w:val="2E74B5"/>
          <w:sz w:val="30"/>
        </w:rPr>
        <w:t>Fonctions, effets et progression par tier</w:t>
      </w:r>
    </w:p>
    <w:p>
      <w:pPr>
        <w:spacing w:after="1600"/>
        <w:jc w:val="center"/>
      </w:pPr>
      <w:r>
        <w:rPr>
          <w:rFonts w:ascii="Calibri" w:hAnsi="Calibri"/>
          <w:b/>
          <w:color w:val="5E6B75"/>
          <w:sz w:val="22"/>
        </w:rPr>
        <w:t>39 modules  •  13 familles  •  Tiers 1 à 3</w:t>
      </w:r>
    </w:p>
    <w:p>
      <w:pPr>
        <w:spacing w:after="160"/>
        <w:jc w:val="center"/>
      </w:pPr>
      <w:r>
        <w:rPr>
          <w:rFonts w:ascii="Calibri" w:hAnsi="Calibri"/>
          <w:i/>
          <w:color w:val="5E6B75"/>
          <w:sz w:val="20"/>
        </w:rPr>
        <w:t>Référence fonctionnelle issue du catalogue et du runtime du projet</w:t>
      </w:r>
    </w:p>
    <w:p>
      <w:pPr>
        <w:jc w:val="center"/>
      </w:pPr>
      <w:r>
        <w:rPr>
          <w:rFonts w:ascii="Calibri" w:hAnsi="Calibri"/>
          <w:color w:val="5E6B75"/>
          <w:sz w:val="20"/>
        </w:rPr>
        <w:t>État vérifié : 23 juillet 2026</w:t>
      </w:r>
    </w:p>
    <w:p>
      <w:r>
        <w:br w:type="page"/>
      </w:r>
    </w:p>
    <w:p>
      <w:pPr>
        <w:pStyle w:val="Heading1"/>
        <w:spacing w:before="0"/>
      </w:pPr>
      <w:r>
        <w:t>Comment lire ce guide</w:t>
      </w:r>
    </w:p>
    <w:p>
      <w:pPr>
        <w:spacing w:after="200"/>
      </w:pPr>
      <w:r>
        <w:t>Chaque famille existe en trois tiers. Le coût indiqué est celui du catalogue actif. Les effets décrits ci-dessous correspondent au comportement fonctionnel observé dans le runtime, y compris lorsque les anciens textes de localisation ne sont plus synchronisés.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4F6F9"/>
          </w:tcPr>
          <w:p>
            <w:pPr>
              <w:spacing w:after="0"/>
            </w:pPr>
            <w:r>
              <w:rPr>
                <w:rFonts w:ascii="Calibri" w:hAnsi="Calibri"/>
                <w:b/>
                <w:color w:val="162438"/>
                <w:sz w:val="20"/>
              </w:rPr>
              <w:t>Règle générale : les effets ne sont actifs que lorsque le module est équipé dans un emplacement du vaisseau. Les tiers d'une même famille ne sont pas destinés à se cumuler ; le runtime agrège généralement la meilleure valeur.</w:t>
            </w:r>
          </w:p>
        </w:tc>
      </w:tr>
    </w:tbl>
    <w:p>
      <w:pPr>
        <w:spacing w:before="200" w:after="80"/>
      </w:pPr>
      <w:r>
        <w:rPr>
          <w:rFonts w:ascii="Calibri" w:hAnsi="Calibri"/>
          <w:b/>
          <w:color w:val="2E74B5"/>
          <w:sz w:val="22"/>
        </w:rPr>
        <w:t>Index rapide</w:t>
      </w:r>
    </w:p>
    <w:p>
      <w:pPr>
        <w:spacing w:after="200"/>
      </w:pPr>
      <w:r>
        <w:t>H Coque  •  SCAN Briefing  •  GREED Flush  •  C Progression coque  •  A Filtrage noir  •  B Conversion blanche  •  E Temps  •  F Crédits  •  I Points de combos  •  J Nouveaux combos  •  K0 Contrôle drones  •  K1 Anti-noire  •  K2 Interception</w:t>
      </w:r>
    </w:p>
    <w:p>
      <w:r>
        <w:br w:type="page"/>
      </w:r>
    </w:p>
    <w:p>
      <w:pPr>
        <w:pStyle w:val="Heading1"/>
        <w:keepNext/>
        <w:spacing w:before="0"/>
      </w:pPr>
      <w:r>
        <w:drawing>
          <wp:inline xmlns:a="http://schemas.openxmlformats.org/drawingml/2006/main" xmlns:pic="http://schemas.openxmlformats.org/drawingml/2006/picture">
            <wp:extent cx="246888" cy="246888"/>
            <wp:docPr id="1" name="Picture 1" descr="Icône du module Hull Patch" title="Module H"/>
            <wp:cNvGraphicFramePr>
              <a:graphicFrameLocks noChangeAspect="1"/>
            </wp:cNvGraphicFramePr>
            <a:graphic>
              <a:graphicData uri="http://schemas.openxmlformats.org/drawingml/2006/picture">
                <pic:pic>
                  <pic:nvPicPr>
                    <pic:cNvPr id="0" name="H.png"/>
                    <pic:cNvPicPr/>
                  </pic:nvPicPr>
                  <pic:blipFill>
                    <a:blip r:embed="rId11"/>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H  |  Hull Patch</w:t>
      </w:r>
    </w:p>
    <w:p>
      <w:pPr>
        <w:pStyle w:val="ModuleRole"/>
      </w:pPr>
      <w:r>
        <w:t>Soutien de coque et petit revenu de fin de mission.</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+1 PV après la mission.</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+1 PV et +1 crédit après la mission.</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+2 PV et +1 crédit après la mission.</w:t>
            </w:r>
          </w:p>
        </w:tc>
      </w:tr>
    </w:tbl>
    <w:p>
      <w:pPr>
        <w:pStyle w:val="ModuleNote"/>
      </w:pPr>
      <w:r>
        <w:rPr>
          <w:rFonts w:ascii="Calibri" w:hAnsi="Calibri"/>
          <w:b/>
          <w:color w:val="2E74B5"/>
          <w:sz w:val="19"/>
        </w:rPr>
        <w:t xml:space="preserve">À savoir : </w:t>
      </w:r>
      <w:r>
        <w:rPr>
          <w:rFonts w:ascii="Calibri" w:hAnsi="Calibri"/>
          <w:color w:val="5E6B75"/>
          <w:sz w:val="19"/>
        </w:rPr>
        <w:t>L'effet est appliqué après chaque mission. La réparation ne peut pas dépasser les PV maximum du vaisseau.</w:t>
      </w:r>
    </w:p>
    <w:p>
      <w:pPr>
        <w:pStyle w:val="Heading1"/>
        <w:keepNext/>
        <w:spacing w:before="280"/>
      </w:pPr>
      <w:r>
        <w:drawing>
          <wp:inline xmlns:a="http://schemas.openxmlformats.org/drawingml/2006/main" xmlns:pic="http://schemas.openxmlformats.org/drawingml/2006/picture">
            <wp:extent cx="246888" cy="246888"/>
            <wp:docPr id="2" name="Picture 2" descr="Icône du module Scan Array" title="Module SCAN"/>
            <wp:cNvGraphicFramePr>
              <a:graphicFrameLocks noChangeAspect="1"/>
            </wp:cNvGraphicFramePr>
            <a:graphic>
              <a:graphicData uri="http://schemas.openxmlformats.org/drawingml/2006/picture">
                <pic:pic>
                  <pic:nvPicPr>
                    <pic:cNvPr id="0" name="S.png"/>
                    <pic:cNvPicPr/>
                  </pic:nvPicPr>
                  <pic:blipFill>
                    <a:blip r:embed="rId12"/>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SCAN  |  Scan Array</w:t>
      </w:r>
    </w:p>
    <w:p>
      <w:pPr>
        <w:pStyle w:val="ModuleRole"/>
      </w:pPr>
      <w:r>
        <w:t>Analyse automatiquement le plan effectif de la mission dans le briefing et l'écran de pause.</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r>
              <w:t>Analyse automatique : billes utiles, noires prévues et information contextuelle.</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r>
              <w:t>Analyse automatique du plan effectif de mission.</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r>
              <w:t>Analyse automatique du plan effectif de mission.</w:t>
            </w:r>
          </w:p>
        </w:tc>
      </w:tr>
    </w:tbl>
    <w:p>
      <w:pPr>
        <w:pStyle w:val="ModuleNote"/>
      </w:pPr>
      <w:r>
        <w:rPr>
          <w:rFonts w:ascii="Calibri" w:hAnsi="Calibri"/>
          <w:b/>
          <w:color w:val="2E74B5"/>
          <w:sz w:val="19"/>
        </w:rPr>
        <w:t>À savoir : Sans module, aucune donnée de scan. Une analyse active affiche jusqu’à trois lignes : billes utiles, noires prévues et information contextuelle liée aux objectifs ou modules.</w:t>
      </w:r>
      <w:r>
        <w:rPr>
          <w:rFonts w:ascii="Calibri" w:hAnsi="Calibri"/>
          <w:color w:val="5E6B75"/>
          <w:sz w:val="19"/>
        </w:rPr>
      </w:r>
    </w:p>
    <w:p>
      <w:r>
        <w:br w:type="page"/>
      </w:r>
    </w:p>
    <w:p>
      <w:pPr>
        <w:pStyle w:val="Heading1"/>
        <w:keepNext/>
        <w:spacing w:before="0"/>
      </w:pPr>
      <w:r>
        <w:drawing>
          <wp:inline xmlns:a="http://schemas.openxmlformats.org/drawingml/2006/main" xmlns:pic="http://schemas.openxmlformats.org/drawingml/2006/picture">
            <wp:extent cx="246888" cy="246888"/>
            <wp:docPr id="3" name="Picture 3" descr="Icône du module Greed Coil" title="Module GREED"/>
            <wp:cNvGraphicFramePr>
              <a:graphicFrameLocks noChangeAspect="1"/>
            </wp:cNvGraphicFramePr>
            <a:graphic>
              <a:graphicData uri="http://schemas.openxmlformats.org/drawingml/2006/picture">
                <pic:pic>
                  <pic:nvPicPr>
                    <pic:cNvPr id="0" name="G.png"/>
                    <pic:cNvPicPr/>
                  </pic:nvPicPr>
                  <pic:blipFill>
                    <a:blip r:embed="rId13"/>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GREED  |  Greed Coil</w:t>
      </w:r>
    </w:p>
    <w:p>
      <w:pPr>
        <w:pStyle w:val="ModuleRole"/>
      </w:pPr>
      <w:r>
        <w:t>Retarde le flush automatique pour permettre des bacs plus chargés et des combos potentiellement plus grands.</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Seuil minimal de flush : +1 bille.</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8</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Seuil minimal de flush : +2 billes.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12</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Seuil minimal de flush : +3 billes.</w:t>
            </w:r>
          </w:p>
        </w:tc>
      </w:tr>
    </w:tbl>
    <w:p>
      <w:pPr>
        <w:pStyle w:val="ModuleNote"/>
      </w:pPr>
      <w:r>
        <w:rPr>
          <w:rFonts w:ascii="Calibri" w:hAnsi="Calibri"/>
          <w:b/>
          <w:color w:val="2E74B5"/>
          <w:sz w:val="19"/>
        </w:rPr>
        <w:t xml:space="preserve">À savoir : </w:t>
      </w:r>
      <w:r>
        <w:rPr>
          <w:rFonts w:ascii="Calibri" w:hAnsi="Calibri"/>
          <w:color w:val="5E6B75"/>
          <w:sz w:val="19"/>
        </w:rPr>
        <w:t>Le bonus s'ajoute au nombre minimal de billes requis. Le gain potentiel augmente, mais le risque de mauvaise gestion des bacs aussi.</w:t>
      </w:r>
    </w:p>
    <w:p>
      <w:pPr>
        <w:pStyle w:val="Heading1"/>
        <w:keepNext/>
        <w:spacing w:before="280"/>
      </w:pPr>
      <w:r>
        <w:drawing>
          <wp:inline xmlns:a="http://schemas.openxmlformats.org/drawingml/2006/main" xmlns:pic="http://schemas.openxmlformats.org/drawingml/2006/picture">
            <wp:extent cx="246888" cy="246888"/>
            <wp:docPr id="4" name="Picture 4" descr="Icône du module Core Growth" title="Module C"/>
            <wp:cNvGraphicFramePr>
              <a:graphicFrameLocks noChangeAspect="1"/>
            </wp:cNvGraphicFramePr>
            <a:graphic>
              <a:graphicData uri="http://schemas.openxmlformats.org/drawingml/2006/picture">
                <pic:pic>
                  <pic:nvPicPr>
                    <pic:cNvPr id="0" name="C.png"/>
                    <pic:cNvPicPr/>
                  </pic:nvPicPr>
                  <pic:blipFill>
                    <a:blip r:embed="rId14"/>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C  |  Core Growth</w:t>
      </w:r>
    </w:p>
    <w:p>
      <w:pPr>
        <w:pStyle w:val="ModuleRole"/>
      </w:pPr>
      <w:r>
        <w:t>Fait progresser durablement la coque maximale si la mission se termine à coque pleine, avec un ajustement du score final.</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Coque pleine : +1 PV max. Score final : -200.</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Coque pleine : +1 PV max. Score final : -100.</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Coque pleine : +1 PV max. Score final : +100.</w:t>
            </w:r>
          </w:p>
        </w:tc>
      </w:tr>
    </w:tbl>
    <w:p>
      <w:pPr>
        <w:pStyle w:val="ModuleNote"/>
      </w:pPr>
      <w:r>
        <w:rPr>
          <w:rFonts w:ascii="Calibri" w:hAnsi="Calibri"/>
          <w:b/>
          <w:color w:val="2E74B5"/>
          <w:sz w:val="19"/>
        </w:rPr>
        <w:t xml:space="preserve">À savoir : </w:t>
      </w:r>
      <w:r>
        <w:rPr>
          <w:rFonts w:ascii="Calibri" w:hAnsi="Calibri"/>
          <w:color w:val="5E6B75"/>
          <w:sz w:val="19"/>
        </w:rPr>
        <w:t>Le +1 PV maximum est conditionné à une coque pleine en fin de niveau. Le delta de score est appliqué au résultat final.</w:t>
      </w:r>
    </w:p>
    <w:p>
      <w:r>
        <w:br w:type="page"/>
      </w:r>
    </w:p>
    <w:p>
      <w:pPr>
        <w:pStyle w:val="Heading1"/>
        <w:keepNext/>
        <w:spacing w:before="0"/>
      </w:pPr>
      <w:r>
        <w:drawing>
          <wp:inline xmlns:a="http://schemas.openxmlformats.org/drawingml/2006/main" xmlns:pic="http://schemas.openxmlformats.org/drawingml/2006/picture">
            <wp:extent cx="246888" cy="246888"/>
            <wp:docPr id="5" name="Picture 5" descr="Icône du module Filtre noir" title="Module A"/>
            <wp:cNvGraphicFramePr>
              <a:graphicFrameLocks noChangeAspect="1"/>
            </wp:cNvGraphicFramePr>
            <a:graphic>
              <a:graphicData uri="http://schemas.openxmlformats.org/drawingml/2006/picture">
                <pic:pic>
                  <pic:nvPicPr>
                    <pic:cNvPr id="0" name="A.png"/>
                    <pic:cNvPicPr/>
                  </pic:nvPicPr>
                  <pic:blipFill>
                    <a:blip r:embed="rId15"/>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A  |  Filtre noir</w:t>
      </w:r>
    </w:p>
    <w:p>
      <w:pPr>
        <w:pStyle w:val="ModuleRole"/>
      </w:pPr>
      <w:r>
        <w:t>Neutralise temporairement des billes noires placées dans un bac en les traitant comme des billes blanches.</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1 charge de filtrage par mission.</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2 charges de filtrage par mission.</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3 charges de filtrage par mission.</w:t>
            </w:r>
          </w:p>
        </w:tc>
      </w:tr>
    </w:tbl>
    <w:p>
      <w:pPr>
        <w:pStyle w:val="ModuleNote"/>
      </w:pPr>
      <w:r>
        <w:rPr>
          <w:rFonts w:ascii="Calibri" w:hAnsi="Calibri"/>
          <w:b/>
          <w:color w:val="2E74B5"/>
          <w:sz w:val="19"/>
        </w:rPr>
        <w:t xml:space="preserve">À savoir : </w:t>
      </w:r>
      <w:r>
        <w:rPr>
          <w:rFonts w:ascii="Calibri" w:hAnsi="Calibri"/>
          <w:color w:val="5E6B75"/>
          <w:sz w:val="19"/>
        </w:rPr>
        <w:t>Une charge est réservée à l'entrée de la noire dans le bac. Elle est rendue si la bille ressort et consommée si le bac est flushé. La bille blanche obtenue peut ensuite être améliorée par la famille B.</w:t>
      </w:r>
    </w:p>
    <w:p>
      <w:pPr>
        <w:pStyle w:val="Heading1"/>
        <w:keepNext/>
        <w:spacing w:before="280"/>
      </w:pPr>
      <w:r>
        <w:drawing>
          <wp:inline xmlns:a="http://schemas.openxmlformats.org/drawingml/2006/main" xmlns:pic="http://schemas.openxmlformats.org/drawingml/2006/picture">
            <wp:extent cx="246888" cy="246888"/>
            <wp:docPr id="6" name="Picture 6" descr="Icône du module Upgrade blanc" title="Module B"/>
            <wp:cNvGraphicFramePr>
              <a:graphicFrameLocks noChangeAspect="1"/>
            </wp:cNvGraphicFramePr>
            <a:graphic>
              <a:graphicData uri="http://schemas.openxmlformats.org/drawingml/2006/picture">
                <pic:pic>
                  <pic:nvPicPr>
                    <pic:cNvPr id="0" name="B.png"/>
                    <pic:cNvPicPr/>
                  </pic:nvPicPr>
                  <pic:blipFill>
                    <a:blip r:embed="rId16"/>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B  |  Upgrade blanc</w:t>
      </w:r>
    </w:p>
    <w:p>
      <w:pPr>
        <w:pStyle w:val="ModuleRole"/>
      </w:pPr>
      <w:r>
        <w:t>Améliore automatiquement certaines billes blanches au moment du flush.</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À chaque flush : 1 blanche devient bleue.</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À chaque flush : 1 blanche devient rouge.</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À chaque flush : 1 blanche devient bleue et 1 autre devient rouge.</w:t>
            </w:r>
          </w:p>
        </w:tc>
      </w:tr>
    </w:tbl>
    <w:p>
      <w:pPr>
        <w:pStyle w:val="ModuleNote"/>
      </w:pPr>
      <w:r>
        <w:rPr>
          <w:rFonts w:ascii="Calibri" w:hAnsi="Calibri"/>
          <w:b/>
          <w:color w:val="2E74B5"/>
          <w:sz w:val="19"/>
        </w:rPr>
        <w:t xml:space="preserve">À savoir : </w:t>
      </w:r>
      <w:r>
        <w:rPr>
          <w:rFonts w:ascii="Calibri" w:hAnsi="Calibri"/>
          <w:color w:val="5E6B75"/>
          <w:sz w:val="19"/>
        </w:rPr>
        <w:t>Les conversions sont calculées sur le snapshot final du bac. Elles interviennent après le filtrage de la famille A et influencent ensuite le score et les combos du flush.</w:t>
      </w:r>
    </w:p>
    <w:p>
      <w:r>
        <w:br w:type="page"/>
      </w:r>
    </w:p>
    <w:p>
      <w:pPr>
        <w:pStyle w:val="Heading1"/>
        <w:keepNext/>
        <w:spacing w:before="0"/>
      </w:pPr>
      <w:r>
        <w:drawing>
          <wp:inline xmlns:a="http://schemas.openxmlformats.org/drawingml/2006/main" xmlns:pic="http://schemas.openxmlformats.org/drawingml/2006/picture">
            <wp:extent cx="246888" cy="246888"/>
            <wp:docPr id="7" name="Picture 7" descr="Icône du module Tampon temporel" title="Module E"/>
            <wp:cNvGraphicFramePr>
              <a:graphicFrameLocks noChangeAspect="1"/>
            </wp:cNvGraphicFramePr>
            <a:graphic>
              <a:graphicData uri="http://schemas.openxmlformats.org/drawingml/2006/picture">
                <pic:pic>
                  <pic:nvPicPr>
                    <pic:cNvPr id="0" name="E.png"/>
                    <pic:cNvPicPr/>
                  </pic:nvPicPr>
                  <pic:blipFill>
                    <a:blip r:embed="rId17"/>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E  |  Tampon temporel</w:t>
      </w:r>
    </w:p>
    <w:p>
      <w:pPr>
        <w:pStyle w:val="ModuleRole"/>
      </w:pPr>
      <w:r>
        <w:t>Allonge la durée de la mission.</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Durée de mission : +5 secondes.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Durée de mission : +10 secondes.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Durée de mission : +15 secondes.</w:t>
            </w:r>
          </w:p>
        </w:tc>
      </w:tr>
    </w:tbl>
    <w:p>
      <w:pPr>
        <w:pStyle w:val="ModuleNote"/>
      </w:pPr>
      <w:r>
        <w:rPr>
          <w:rFonts w:ascii="Calibri" w:hAnsi="Calibri"/>
          <w:b/>
          <w:color w:val="2E74B5"/>
          <w:sz w:val="19"/>
        </w:rPr>
        <w:t xml:space="preserve">À savoir : </w:t>
      </w:r>
      <w:r>
        <w:rPr>
          <w:rFonts w:ascii="Calibri" w:hAnsi="Calibri"/>
          <w:color w:val="5E6B75"/>
          <w:sz w:val="19"/>
        </w:rPr>
        <w:t>Le temps supplémentaire crée davantage d'occasions de marquer, mais prolonge aussi l'exposition aux risques du niveau.</w:t>
      </w:r>
    </w:p>
    <w:p>
      <w:pPr>
        <w:pStyle w:val="Heading1"/>
        <w:keepNext/>
        <w:spacing w:before="280"/>
      </w:pPr>
      <w:r>
        <w:drawing>
          <wp:inline xmlns:a="http://schemas.openxmlformats.org/drawingml/2006/main" xmlns:pic="http://schemas.openxmlformats.org/drawingml/2006/picture">
            <wp:extent cx="246888" cy="246888"/>
            <wp:docPr id="8" name="Picture 8" descr="Icône du module Prime de médaille" title="Module F"/>
            <wp:cNvGraphicFramePr>
              <a:graphicFrameLocks noChangeAspect="1"/>
            </wp:cNvGraphicFramePr>
            <a:graphic>
              <a:graphicData uri="http://schemas.openxmlformats.org/drawingml/2006/picture">
                <pic:pic>
                  <pic:nvPicPr>
                    <pic:cNvPr id="0" name="F.png"/>
                    <pic:cNvPicPr/>
                  </pic:nvPicPr>
                  <pic:blipFill>
                    <a:blip r:embed="rId18"/>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F  |  Prime de médaille</w:t>
      </w:r>
    </w:p>
    <w:p>
      <w:pPr>
        <w:pStyle w:val="ModuleRole"/>
      </w:pPr>
      <w:r>
        <w:t>Ajoute des crédits à la récompense de fin de mission selon la médaille obtenue.</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Bronze +2 / Argent +3 / Or +4 crédits.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Bronze +3 / Argent +4 / Or +5 crédits.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Bronze +4 / Argent +5 / Or +6 crédits.</w:t>
            </w:r>
          </w:p>
        </w:tc>
      </w:tr>
    </w:tbl>
    <w:p>
      <w:pPr>
        <w:pStyle w:val="ModuleNote"/>
      </w:pPr>
      <w:r>
        <w:rPr>
          <w:rFonts w:ascii="Calibri" w:hAnsi="Calibri"/>
          <w:b/>
          <w:color w:val="2E74B5"/>
          <w:sz w:val="19"/>
        </w:rPr>
        <w:t xml:space="preserve">À savoir : </w:t>
      </w:r>
      <w:r>
        <w:rPr>
          <w:rFonts w:ascii="Calibri" w:hAnsi="Calibri"/>
          <w:color w:val="5E6B75"/>
          <w:sz w:val="19"/>
        </w:rPr>
        <w:t>Valeurs fonctionnelles issues du catalogue runtime. Elles priment sur les anciennes phrases de localisation si celles-ci diffèrent.</w:t>
      </w:r>
    </w:p>
    <w:p>
      <w:r>
        <w:br w:type="page"/>
      </w:r>
    </w:p>
    <w:p>
      <w:pPr>
        <w:pStyle w:val="Heading1"/>
        <w:keepNext/>
        <w:spacing w:before="0"/>
      </w:pPr>
      <w:r>
        <w:drawing>
          <wp:inline xmlns:a="http://schemas.openxmlformats.org/drawingml/2006/main" xmlns:pic="http://schemas.openxmlformats.org/drawingml/2006/picture">
            <wp:extent cx="246888" cy="246888"/>
            <wp:docPr id="9" name="Picture 9" descr="Icône du module Amplificateur de combos I" title="Module I"/>
            <wp:cNvGraphicFramePr>
              <a:graphicFrameLocks noChangeAspect="1"/>
            </wp:cNvGraphicFramePr>
            <a:graphic>
              <a:graphicData uri="http://schemas.openxmlformats.org/drawingml/2006/picture">
                <pic:pic>
                  <pic:nvPicPr>
                    <pic:cNvPr id="0" name="I.png"/>
                    <pic:cNvPicPr/>
                  </pic:nvPicPr>
                  <pic:blipFill>
                    <a:blip r:embed="rId19"/>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I  |  Amplificateur de combos I</w:t>
      </w:r>
    </w:p>
    <w:p>
      <w:pPr>
        <w:pStyle w:val="ModuleRole"/>
      </w:pPr>
      <w:r>
        <w:t>Augmente les points produits par toutes les occurrences de combo.</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Points de combo : ×1,15 (+15 %).</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Points de combo : ×1,22 (+22 %).</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Points de combo : ×1,30 (+30 %).</w:t>
            </w:r>
          </w:p>
        </w:tc>
      </w:tr>
    </w:tbl>
    <w:p>
      <w:pPr>
        <w:pStyle w:val="ModuleNote"/>
      </w:pPr>
      <w:r>
        <w:rPr>
          <w:rFonts w:ascii="Calibri" w:hAnsi="Calibri"/>
          <w:b/>
          <w:color w:val="2E74B5"/>
          <w:sz w:val="19"/>
        </w:rPr>
        <w:t xml:space="preserve">À savoir : </w:t>
      </w:r>
      <w:r>
        <w:rPr>
          <w:rFonts w:ascii="Calibri" w:hAnsi="Calibri"/>
          <w:color w:val="5E6B75"/>
          <w:sz w:val="19"/>
        </w:rPr>
        <w:t>Le module ne crée aucun combo et ne modifie ni les conditions ni les compteurs. Le multiplicateur est appliqué une seule fois après la résolution ; si plusieurs I sont équipés, seule la valeur la plus élevée est retenue.</w:t>
      </w:r>
    </w:p>
    <w:p>
      <w:pPr>
        <w:pStyle w:val="Heading1"/>
        <w:keepNext/>
        <w:spacing w:before="280"/>
      </w:pPr>
      <w:r>
        <w:drawing>
          <wp:inline xmlns:a="http://schemas.openxmlformats.org/drawingml/2006/main" xmlns:pic="http://schemas.openxmlformats.org/drawingml/2006/picture">
            <wp:extent cx="246888" cy="246888"/>
            <wp:docPr id="10" name="Picture 10" descr="Icône du module Matrice de combos J" title="Module J"/>
            <wp:cNvGraphicFramePr>
              <a:graphicFrameLocks noChangeAspect="1"/>
            </wp:cNvGraphicFramePr>
            <a:graphic>
              <a:graphicData uri="http://schemas.openxmlformats.org/drawingml/2006/picture">
                <pic:pic>
                  <pic:nvPicPr>
                    <pic:cNvPr id="0" name="J.png"/>
                    <pic:cNvPicPr/>
                  </pic:nvPicPr>
                  <pic:blipFill>
                    <a:blip r:embed="rId20"/>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J  |  Matrice de combos J</w:t>
      </w:r>
    </w:p>
    <w:p>
      <w:pPr>
        <w:pStyle w:val="ModuleRole"/>
      </w:pPr>
      <w:r>
        <w:t>Débloque progressivement de nouveaux patterns de combos multicolores.</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Débloque les combos mixtes 4+1.</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Conserve 4+1 et débloque 3+2.</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Conserve les précédents et débloque le tricolore 2+2+1.</w:t>
            </w:r>
          </w:p>
        </w:tc>
      </w:tr>
    </w:tbl>
    <w:p>
      <w:pPr>
        <w:pStyle w:val="ModuleNote"/>
      </w:pPr>
      <w:r>
        <w:rPr>
          <w:rFonts w:ascii="Calibri" w:hAnsi="Calibri"/>
          <w:b/>
          <w:color w:val="2E74B5"/>
          <w:sz w:val="19"/>
        </w:rPr>
        <w:t xml:space="preserve">À savoir : </w:t>
      </w:r>
      <w:r>
        <w:rPr>
          <w:rFonts w:ascii="Calibri" w:hAnsi="Calibri"/>
          <w:color w:val="5E6B75"/>
          <w:sz w:val="19"/>
        </w:rPr>
        <w:t>Les déblocages sont cumulatifs. Les compositions sont évaluées après les transformations des familles A et B. Scores plats actuels : 4+1 = 100, 3+2 = 150, 2+2+1 = 200.</w:t>
      </w:r>
    </w:p>
    <w:p>
      <w:r>
        <w:br w:type="page"/>
      </w:r>
    </w:p>
    <w:p>
      <w:pPr>
        <w:pStyle w:val="Heading1"/>
        <w:keepNext/>
        <w:spacing w:before="0"/>
      </w:pPr>
      <w:r>
        <w:drawing>
          <wp:inline xmlns:a="http://schemas.openxmlformats.org/drawingml/2006/main" xmlns:pic="http://schemas.openxmlformats.org/drawingml/2006/picture">
            <wp:extent cx="246888" cy="246888"/>
            <wp:docPr id="11" name="Picture 11" descr="Icône du module Contrôle des drones K0" title="Module K0"/>
            <wp:cNvGraphicFramePr>
              <a:graphicFrameLocks noChangeAspect="1"/>
            </wp:cNvGraphicFramePr>
            <a:graphic>
              <a:graphicData uri="http://schemas.openxmlformats.org/drawingml/2006/picture">
                <pic:pic>
                  <pic:nvPicPr>
                    <pic:cNvPr id="0" name="K0.png"/>
                    <pic:cNvPicPr/>
                  </pic:nvPicPr>
                  <pic:blipFill>
                    <a:blip r:embed="rId21"/>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K0  |  Contrôle des drones K0</w:t>
      </w:r>
    </w:p>
    <w:p>
      <w:pPr>
        <w:pStyle w:val="ModuleRole"/>
      </w:pPr>
      <w:r>
        <w:t>Améliore transversalement tous les drones équipés.</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Tous les drones commencent la mission chargés.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Départ chargé et cooldown des drones réduit de 10 %.</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Départ chargé et cooldown des drones réduit de 20 %.</w:t>
            </w:r>
          </w:p>
        </w:tc>
      </w:tr>
    </w:tbl>
    <w:p>
      <w:pPr>
        <w:pStyle w:val="ModuleNote"/>
      </w:pPr>
      <w:r>
        <w:rPr>
          <w:rFonts w:ascii="Calibri" w:hAnsi="Calibri"/>
          <w:b/>
          <w:color w:val="2E74B5"/>
          <w:sz w:val="19"/>
        </w:rPr>
        <w:t xml:space="preserve">À savoir : </w:t>
      </w:r>
      <w:r>
        <w:rPr>
          <w:rFonts w:ascii="Calibri" w:hAnsi="Calibri"/>
          <w:color w:val="5E6B75"/>
          <w:sz w:val="19"/>
        </w:rPr>
        <w:t>K0 ne crée aucun drone. Il agit actuellement sur K1 et K2 via leur contrôleur commun. Un drone chargé conserve sa charge jusqu'à l'apparition d'une cible admissible.</w:t>
      </w:r>
    </w:p>
    <w:p>
      <w:pPr>
        <w:pStyle w:val="Heading1"/>
        <w:keepNext/>
        <w:spacing w:before="280"/>
      </w:pPr>
      <w:r>
        <w:drawing>
          <wp:inline xmlns:a="http://schemas.openxmlformats.org/drawingml/2006/main" xmlns:pic="http://schemas.openxmlformats.org/drawingml/2006/picture">
            <wp:extent cx="246888" cy="246888"/>
            <wp:docPr id="12" name="Picture 12" descr="Icône du module Drone anti-noire K1" title="Module K1"/>
            <wp:cNvGraphicFramePr>
              <a:graphicFrameLocks noChangeAspect="1"/>
            </wp:cNvGraphicFramePr>
            <a:graphic>
              <a:graphicData uri="http://schemas.openxmlformats.org/drawingml/2006/picture">
                <pic:pic>
                  <pic:nvPicPr>
                    <pic:cNvPr id="0" name="K1.png"/>
                    <pic:cNvPicPr/>
                  </pic:nvPicPr>
                  <pic:blipFill>
                    <a:blip r:embed="rId22"/>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K1  |  Drone anti-noire K1</w:t>
      </w:r>
    </w:p>
    <w:p>
      <w:pPr>
        <w:pStyle w:val="ModuleRole"/>
      </w:pPr>
      <w:r>
        <w:t>Neutralise automatiquement une bille noire dangereuse au laser.</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Recharge : 30 secondes.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Recharge : 23 secondes.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Recharge : 18 secondes.</w:t>
            </w:r>
          </w:p>
        </w:tc>
      </w:tr>
    </w:tbl>
    <w:p>
      <w:pPr>
        <w:pStyle w:val="ModuleNote"/>
      </w:pPr>
      <w:r>
        <w:rPr>
          <w:rFonts w:ascii="Calibri" w:hAnsi="Calibri"/>
          <w:b/>
          <w:color w:val="2E74B5"/>
          <w:sz w:val="19"/>
        </w:rPr>
        <w:t xml:space="preserve">À savoir : </w:t>
      </w:r>
      <w:r>
        <w:rPr>
          <w:rFonts w:ascii="Calibri" w:hAnsi="Calibri"/>
          <w:color w:val="5E6B75"/>
          <w:sz w:val="19"/>
        </w:rPr>
        <w:t>Le drone privilégie les noires dangereuses déjà dans les bacs, puis la noire dangereuse la plus proche sur le plateau. La neutralisation ne donne aucun score, ne compte pas comme une perte et n'inflige aucun dégât.</w:t>
      </w:r>
    </w:p>
    <w:p>
      <w:r>
        <w:br w:type="page"/>
      </w:r>
    </w:p>
    <w:p>
      <w:pPr>
        <w:pStyle w:val="Heading1"/>
        <w:keepNext/>
        <w:spacing w:before="0"/>
      </w:pPr>
      <w:r>
        <w:drawing>
          <wp:inline xmlns:a="http://schemas.openxmlformats.org/drawingml/2006/main" xmlns:pic="http://schemas.openxmlformats.org/drawingml/2006/picture">
            <wp:extent cx="246888" cy="246888"/>
            <wp:docPr id="13" name="Picture 13" descr="Icône du module Drone Interceptor K2" title="Module K2"/>
            <wp:cNvGraphicFramePr>
              <a:graphicFrameLocks noChangeAspect="1"/>
            </wp:cNvGraphicFramePr>
            <a:graphic>
              <a:graphicData uri="http://schemas.openxmlformats.org/drawingml/2006/picture">
                <pic:pic>
                  <pic:nvPicPr>
                    <pic:cNvPr id="0" name="K2.png"/>
                    <pic:cNvPicPr/>
                  </pic:nvPicPr>
                  <pic:blipFill>
                    <a:blip r:embed="rId23"/>
                    <a:stretch>
                      <a:fillRect/>
                    </a:stretch>
                  </pic:blipFill>
                  <pic:spPr>
                    <a:xfrm>
                      <a:off x="0" y="0"/>
                      <a:ext cx="246888" cy="246888"/>
                    </a:xfrm>
                    <a:prstGeom prst="rect"/>
                  </pic:spPr>
                </pic:pic>
              </a:graphicData>
            </a:graphic>
          </wp:inline>
        </w:drawing>
      </w:r>
      <w:r>
        <w:t xml:space="preserve">  </w:t>
      </w:r>
      <w:r>
        <w:rPr>
          <w:rFonts w:ascii="Calibri" w:hAnsi="Calibri"/>
          <w:b/>
          <w:color w:val="2E74B5"/>
          <w:sz w:val="32"/>
        </w:rPr>
        <w:t>K2  |  Drone Interceptor K2</w:t>
      </w:r>
    </w:p>
    <w:p>
      <w:pPr>
        <w:pStyle w:val="ModuleRole"/>
      </w:pPr>
      <w:r>
        <w:t>Intercepte certaines billes juste avant leur chute dans le Void et les replace en haut du plateau.</w:t>
      </w:r>
    </w:p>
    <w:tbl>
      <w:tblPr>
        <w:tblStyle w:val="TableGrid"/>
        <w:tblW w:type="dxa" w:w="9360"/>
        <w:tblLayout w:type="fixed"/>
        <w:tblLook w:firstColumn="1" w:firstRow="1" w:lastColumn="0" w:lastRow="0" w:noHBand="0" w:noVBand="1" w:val="04A0"/>
        <w:tblInd w:w="120" w:type="dxa"/>
      </w:tblPr>
      <w:tblGrid>
        <w:gridCol w:w="850"/>
        <w:gridCol w:w="850"/>
        <w:gridCol w:w="7660"/>
      </w:tblGrid>
      <w:tr>
        <w:trPr>
          <w:tblHeader w:val="true"/>
        </w:trPr>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Tier</w:t>
            </w:r>
          </w:p>
        </w:tc>
        <w:tc>
          <w:tcPr>
            <w:tcW w:type="dxa" w:w="850"/>
            <w:vAlign w:val="center"/>
            <w:shd w:fill="E8EEF5"/>
            <w:tcMar>
              <w:top w:w="90" w:type="dxa"/>
              <w:start w:w="120" w:type="dxa"/>
              <w:bottom w:w="90" w:type="dxa"/>
              <w:end w:w="120" w:type="dxa"/>
            </w:tcMar>
          </w:tcPr>
          <w:p>
            <w:pPr>
              <w:spacing w:after="0"/>
              <w:jc w:val="center"/>
            </w:pPr>
            <w:r/>
            <w:r>
              <w:rPr>
                <w:rFonts w:ascii="Calibri" w:hAnsi="Calibri"/>
                <w:b/>
                <w:color w:val="162438"/>
                <w:sz w:val="19"/>
              </w:rPr>
              <w:t>Coût</w:t>
            </w:r>
          </w:p>
        </w:tc>
        <w:tc>
          <w:tcPr>
            <w:tcW w:type="dxa" w:w="7660"/>
            <w:vAlign w:val="center"/>
            <w:shd w:fill="E8EEF5"/>
            <w:tcMar>
              <w:top w:w="90" w:type="dxa"/>
              <w:start w:w="120" w:type="dxa"/>
              <w:bottom w:w="90" w:type="dxa"/>
              <w:end w:w="120" w:type="dxa"/>
            </w:tcMar>
          </w:tcPr>
          <w:p>
            <w:pPr>
              <w:spacing w:after="0"/>
              <w:jc w:val="left"/>
            </w:pPr>
            <w:r/>
            <w:r>
              <w:rPr>
                <w:rFonts w:ascii="Calibri" w:hAnsi="Calibri"/>
                <w:b/>
                <w:color w:val="162438"/>
                <w:sz w:val="19"/>
              </w:rPr>
              <w:t>Effet fonctionnel</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T1</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4</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30 s : sauve les billes blanches.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T2</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10</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25 s : sauve les billes blanches ou bleues.</w:t>
            </w:r>
          </w:p>
        </w:tc>
      </w:tr>
      <w:tr>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color w:val="162438"/>
                <w:sz w:val="19"/>
              </w:rPr>
              <w:t>T3</w:t>
            </w:r>
          </w:p>
        </w:tc>
        <w:tc>
          <w:tcPr>
            <w:tcW w:type="dxa" w:w="850"/>
            <w:vAlign w:val="center"/>
            <w:tcMar>
              <w:top w:w="90" w:type="dxa"/>
              <w:start w:w="120" w:type="dxa"/>
              <w:bottom w:w="90" w:type="dxa"/>
              <w:end w:w="120" w:type="dxa"/>
            </w:tcMar>
          </w:tcPr>
          <w:p>
            <w:pPr>
              <w:spacing w:before="0" w:after="0" w:line="264" w:lineRule="auto"/>
              <w:jc w:val="center"/>
            </w:pPr>
            <w:r/>
            <w:r>
              <w:rPr>
                <w:rFonts w:ascii="Calibri" w:hAnsi="Calibri"/>
                <w:b w:val="0"/>
                <w:color w:val="162438"/>
                <w:sz w:val="19"/>
              </w:rPr>
              <w:t>16</w:t>
            </w:r>
          </w:p>
        </w:tc>
        <w:tc>
          <w:tcPr>
            <w:tcW w:type="dxa" w:w="7660"/>
            <w:vAlign w:val="center"/>
            <w:tcMar>
              <w:top w:w="90" w:type="dxa"/>
              <w:start w:w="120" w:type="dxa"/>
              <w:bottom w:w="90" w:type="dxa"/>
              <w:end w:w="120" w:type="dxa"/>
            </w:tcMar>
          </w:tcPr>
          <w:p>
            <w:pPr>
              <w:spacing w:before="0" w:after="0" w:line="264" w:lineRule="auto"/>
              <w:jc w:val="left"/>
            </w:pPr>
            <w:r/>
            <w:r>
              <w:rPr>
                <w:rFonts w:ascii="Calibri" w:hAnsi="Calibri"/>
                <w:b w:val="0"/>
                <w:color w:val="222222"/>
                <w:sz w:val="19"/>
              </w:rPr>
              <w:t>22 s : sauve les billes blanches, bleues ou rouges.</w:t>
            </w:r>
          </w:p>
        </w:tc>
      </w:tr>
    </w:tbl>
    <w:p>
      <w:pPr>
        <w:pStyle w:val="ModuleNote"/>
      </w:pPr>
      <w:r>
        <w:rPr>
          <w:rFonts w:ascii="Calibri" w:hAnsi="Calibri"/>
          <w:b/>
          <w:color w:val="2E74B5"/>
          <w:sz w:val="19"/>
        </w:rPr>
        <w:t xml:space="preserve">À savoir : </w:t>
      </w:r>
      <w:r>
        <w:rPr>
          <w:rFonts w:ascii="Calibri" w:hAnsi="Calibri"/>
          <w:color w:val="5E6B75"/>
          <w:sz w:val="19"/>
        </w:rPr>
        <w:t>La bille interceptée est temporairement retirée du gameplay, téléportée vers une position de spawn libre, puis relâchée à vitesse nulle. Il s'agit de la même bille : aucun projectile supplémentaire n'est créé.</w:t>
      </w:r>
    </w:p>
    <w:p>
      <w:r>
        <w:br w:type="page"/>
      </w:r>
    </w:p>
    <w:p>
      <w:pPr>
        <w:pStyle w:val="Heading1"/>
        <w:spacing w:before="0"/>
      </w:pPr>
      <w:r>
        <w:t>Notes d'interprétation</w:t>
      </w:r>
    </w:p>
    <w:p>
      <w:pPr>
        <w:keepLines/>
        <w:spacing w:after="140"/>
      </w:pPr>
      <w:r>
        <w:rPr>
          <w:rFonts w:ascii="Calibri" w:hAnsi="Calibri"/>
          <w:b/>
          <w:color w:val="2E74B5"/>
          <w:sz w:val="22"/>
        </w:rPr>
        <w:t xml:space="preserve">Valeurs d'autorité. </w:t>
      </w:r>
      <w:r>
        <w:rPr>
          <w:rFonts w:ascii="Calibri" w:hAnsi="Calibri"/>
          <w:color w:val="222222"/>
          <w:sz w:val="22"/>
        </w:rPr>
        <w:t>Les chiffres de ce guide proviennent de ModuleCatalog.json et des consommateurs runtime. Le catalogue prime sur une phrase de localisation divergente.</w:t>
      </w:r>
    </w:p>
    <w:p>
      <w:pPr>
        <w:keepLines/>
        <w:spacing w:after="140"/>
      </w:pPr>
      <w:r>
        <w:rPr>
          <w:rFonts w:ascii="Calibri" w:hAnsi="Calibri"/>
          <w:b/>
          <w:color w:val="2E74B5"/>
          <w:sz w:val="22"/>
        </w:rPr>
        <w:t xml:space="preserve">Score et combos. </w:t>
      </w:r>
      <w:r>
        <w:rPr>
          <w:rFonts w:ascii="Calibri" w:hAnsi="Calibri"/>
          <w:color w:val="222222"/>
          <w:sz w:val="22"/>
        </w:rPr>
        <w:t>La famille I amplifie les points après détection. La famille J ajoute des patterns détectables. Elles n'ont donc pas la même fonction.</w:t>
      </w:r>
    </w:p>
    <w:p>
      <w:pPr>
        <w:keepLines/>
        <w:spacing w:after="140"/>
      </w:pPr>
      <w:r>
        <w:rPr>
          <w:rFonts w:ascii="Calibri" w:hAnsi="Calibri"/>
          <w:b/>
          <w:color w:val="2E74B5"/>
          <w:sz w:val="22"/>
        </w:rPr>
        <w:t xml:space="preserve">Transformations de bac. </w:t>
      </w:r>
      <w:r>
        <w:rPr>
          <w:rFonts w:ascii="Calibri" w:hAnsi="Calibri"/>
          <w:color w:val="222222"/>
          <w:sz w:val="22"/>
        </w:rPr>
        <w:t>La famille A filtre les noires, puis la famille B peut améliorer les blanches obtenues. Les combos sont calculés sur le résultat transformé.</w:t>
      </w:r>
    </w:p>
    <w:p>
      <w:pPr>
        <w:keepLines/>
        <w:spacing w:after="140"/>
      </w:pPr>
      <w:r>
        <w:rPr>
          <w:rFonts w:ascii="Calibri" w:hAnsi="Calibri"/>
          <w:b/>
          <w:color w:val="2E74B5"/>
          <w:sz w:val="22"/>
        </w:rPr>
        <w:t xml:space="preserve">Drones. </w:t>
      </w:r>
      <w:r>
        <w:rPr>
          <w:rFonts w:ascii="Calibri" w:hAnsi="Calibri"/>
          <w:color w:val="222222"/>
          <w:sz w:val="22"/>
        </w:rPr>
        <w:t>K0 améliore les drones mais n'en ajoute aucun. K1 et K2 doivent être équipés séparément pour exister en mission.</w:t>
      </w:r>
    </w:p>
    <w:p>
      <w:pPr>
        <w:keepLines/>
        <w:spacing w:after="140"/>
      </w:pPr>
      <w:r>
        <w:rPr>
          <w:rFonts w:ascii="Calibri" w:hAnsi="Calibri"/>
          <w:b/>
          <w:color w:val="2E74B5"/>
          <w:sz w:val="22"/>
        </w:rPr>
        <w:t xml:space="preserve">Équilibrage. </w:t>
      </w:r>
      <w:r>
        <w:rPr>
          <w:rFonts w:ascii="Calibri" w:hAnsi="Calibri"/>
          <w:color w:val="222222"/>
          <w:sz w:val="22"/>
        </w:rPr>
        <w:t>Les coûts et valeurs sont des données de gameplay susceptibles d'évoluer. La date de vérification de la couverture permet d'identifier la version décrite.</w:t>
      </w:r>
    </w:p>
    <w:p>
      <w:pPr>
        <w:pStyle w:val="Heading2"/>
      </w:pPr>
      <w:r>
        <w:t>Sources vérifiées</w:t>
      </w:r>
    </w:p>
    <w:p>
      <w:pPr>
        <w:pStyle w:val="ListBullet"/>
        <w:spacing w:after="80"/>
        <w:ind w:left="540" w:hanging="271"/>
      </w:pPr>
      <w:r>
        <w:rPr>
          <w:rFonts w:ascii="Calibri" w:hAnsi="Calibri"/>
          <w:color w:val="5E6B75"/>
          <w:sz w:val="19"/>
        </w:rPr>
        <w:t>Assets/Resources/Modules/ModuleCatalog.json</w:t>
      </w:r>
    </w:p>
    <w:p>
      <w:pPr>
        <w:pStyle w:val="ListBullet"/>
        <w:spacing w:after="80"/>
        <w:ind w:left="540" w:hanging="271"/>
      </w:pPr>
      <w:r>
        <w:rPr>
          <w:rFonts w:ascii="Calibri" w:hAnsi="Calibri"/>
          <w:color w:val="5E6B75"/>
          <w:sz w:val="19"/>
        </w:rPr>
        <w:t>Assets/Resources/Localization/modules/fr.json</w:t>
      </w:r>
    </w:p>
    <w:p>
      <w:pPr>
        <w:pStyle w:val="ListBullet"/>
        <w:spacing w:after="80"/>
        <w:ind w:left="540" w:hanging="271"/>
      </w:pPr>
      <w:r>
        <w:rPr>
          <w:rFonts w:ascii="Calibri" w:hAnsi="Calibri"/>
          <w:color w:val="5E6B75"/>
          <w:sz w:val="19"/>
        </w:rPr>
        <w:t>Assets/Project/Scripts/Systems/Modules/ModuleRuntimeStats.cs</w:t>
      </w:r>
    </w:p>
    <w:p>
      <w:pPr>
        <w:pStyle w:val="ListBullet"/>
        <w:spacing w:after="80"/>
        <w:ind w:left="540" w:hanging="271"/>
      </w:pPr>
      <w:r>
        <w:rPr>
          <w:rFonts w:ascii="Calibri" w:hAnsi="Calibri"/>
          <w:color w:val="5E6B75"/>
          <w:sz w:val="19"/>
        </w:rPr>
        <w:t>docs/01-systemes/economie-boutique-et-modules.md</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E6B75"/>
        <w:sz w:val="17"/>
      </w:rPr>
      <w:t>VOID SCRAPPERS 404  /  GUIDE DES MODULES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24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Role">
    <w:name w:val="Module Role"/>
    <w:pPr>
      <w:keepNext/>
      <w:spacing w:after="100"/>
    </w:pPr>
    <w:rPr>
      <w:rFonts w:ascii="Calibri" w:hAnsi="Calibri"/>
      <w:b/>
      <w:color w:val="162438"/>
      <w:sz w:val="22"/>
    </w:rPr>
  </w:style>
  <w:style w:type="paragraph" w:customStyle="1" w:styleId="ModuleNote">
    <w:name w:val="Module Note"/>
    <w:pPr>
      <w:spacing w:before="100" w:after="160" w:line="276" w:lineRule="auto"/>
    </w:pPr>
    <w:rPr>
      <w:rFonts w:ascii="Calibri" w:hAnsi="Calibri"/>
      <w:color w:val="5E6B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