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Propuesta inicial de conductores — Gabinete de potencia (v0)</w:t>
      </w:r>
    </w:p>
    <w:p>
      <w:pPr/>
      <w:r>
        <w:rPr>
          <w:i/>
        </w:rPr>
        <w:t xml:space="preserve">Proyecto: Sistema de Control Automatizado para Dosificación de Concreto · Proyectos VII · Bitácora de Iteración v0 · Origen: sugerencia inicial de IA, previa al cálculo detallado</w:t>
      </w:r>
    </w:p>
    <w:p>
      <w:pPr>
        <w:pStyle w:val="Heading2"/>
      </w:pPr>
      <w:r>
        <w:t xml:space="preserve">1. Propósito</w:t>
      </w:r>
    </w:p>
    <w:p>
      <w:pPr/>
      <w:r>
        <w:t xml:space="preserve">Tener una primera aproximación de los calibres de cobre necesarios en el gabinete de potencia, para poder avanzar con el diagrama eléctrico y la lista de materiales mientras se reunen los datos definitivos de la planta.</w:t>
      </w:r>
    </w:p>
    <w:p>
      <w:pPr>
        <w:pStyle w:val="Heading2"/>
      </w:pPr>
      <w:r>
        <w:t xml:space="preserve">2. Cargas consideradas</w:t>
      </w:r>
    </w:p>
    <w:p>
      <w:pPr/>
      <w:r>
        <w:t xml:space="preserve">Motores trifásicos a 220 V y 60 Hz: dos gusanos, una banda, un compresor, dos bombas de agua y un vibrador. Sus potencias van desde motores pequeños hasta motores grandes de la planta, y se suponen en operación normal.</w:t>
      </w:r>
    </w:p>
    <w:p>
      <w:pPr>
        <w:pStyle w:val="Heading2"/>
      </w:pPr>
      <w:r>
        <w:t xml:space="preserve">3. Enfoque propuesto</w:t>
      </w:r>
    </w:p>
    <w:p>
      <w:pPr>
        <w:pStyle w:val="ListParagraph"/>
        <w:numPr>
          <w:ilvl w:val="0"/>
          <w:numId w:val="2"/>
        </w:numPr>
      </w:pPr>
      <w:r>
        <w:t xml:space="preserve">Estimar la corriente de cada motor a partir de su potencia, con la relación eléctrica básica de un sistema trifásico y valores típicos de eficiencia y factor de potencia.</w:t>
      </w:r>
    </w:p>
    <w:p>
      <w:pPr>
        <w:pStyle w:val="ListParagraph"/>
        <w:numPr>
          <w:ilvl w:val="0"/>
          <w:numId w:val="2"/>
        </w:numPr>
      </w:pPr>
      <w:r>
        <w:t xml:space="preserve">Elegir el calibre de cobre en una tabla comercial de capacidad de corriente, agregando un margen general de seguridad.</w:t>
      </w:r>
    </w:p>
    <w:p>
      <w:pPr>
        <w:pStyle w:val="ListParagraph"/>
        <w:numPr>
          <w:ilvl w:val="0"/>
          <w:numId w:val="2"/>
        </w:numPr>
      </w:pPr>
      <w:r>
        <w:t xml:space="preserve">Agrupar los motores por tamaño y usar un mismo calibre dentro de cada grupo, para simplificar compras y cableado.</w:t>
      </w:r>
    </w:p>
    <w:p>
      <w:pPr>
        <w:pStyle w:val="ListParagraph"/>
        <w:numPr>
          <w:ilvl w:val="0"/>
          <w:numId w:val="2"/>
        </w:numPr>
      </w:pPr>
      <w:r>
        <w:t xml:space="preserve">Dimensionar el alimentador general con un calibre grueso, capaz de llevar la suma de las corrientes estimadas.</w:t>
      </w:r>
    </w:p>
    <w:p>
      <w:pPr>
        <w:pStyle w:val="ListParagraph"/>
        <w:numPr>
          <w:ilvl w:val="0"/>
          <w:numId w:val="2"/>
        </w:numPr>
      </w:pPr>
      <w:r>
        <w:t xml:space="preserve">Usar cable flexible de uso común en tableros.</w:t>
      </w:r>
    </w:p>
    <w:p>
      <w:pPr>
        <w:pStyle w:val="Heading2"/>
      </w:pPr>
      <w:r>
        <w:t xml:space="preserve">4. Resultado preliminar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Grupo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Cargas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Calibre propuesto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Motores grandes</w:t>
            </w:r>
          </w:p>
        </w:tc>
        <w:tc>
          <w:tcPr>
            <w:tcW w:w="3120" w:type="dxa"/>
          </w:tcPr>
          <w:p>
            <w:pPr/>
            <w:r>
              <w:t xml:space="preserve">Gusanos y banda</w:t>
            </w:r>
          </w:p>
        </w:tc>
        <w:tc>
          <w:tcPr>
            <w:tcW w:w="3120" w:type="dxa"/>
          </w:tcPr>
          <w:p>
            <w:pPr/>
            <w:r>
              <w:t xml:space="preserve">Intermedio-grueso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Motores medianos</w:t>
            </w:r>
          </w:p>
        </w:tc>
        <w:tc>
          <w:tcPr>
            <w:tcW w:w="3120" w:type="dxa"/>
          </w:tcPr>
          <w:p>
            <w:pPr/>
            <w:r>
              <w:t xml:space="preserve">Compresor y bomba de agua 1</w:t>
            </w:r>
          </w:p>
        </w:tc>
        <w:tc>
          <w:tcPr>
            <w:tcW w:w="3120" w:type="dxa"/>
          </w:tcPr>
          <w:p>
            <w:pPr/>
            <w:r>
              <w:t xml:space="preserve">Intermedio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Motores pequeños</w:t>
            </w:r>
          </w:p>
        </w:tc>
        <w:tc>
          <w:tcPr>
            <w:tcW w:w="3120" w:type="dxa"/>
          </w:tcPr>
          <w:p>
            <w:pPr/>
            <w:r>
              <w:t xml:space="preserve">Bomba de agua 2 y vibrador</w:t>
            </w:r>
          </w:p>
        </w:tc>
        <w:tc>
          <w:tcPr>
            <w:tcW w:w="3120" w:type="dxa"/>
          </w:tcPr>
          <w:p>
            <w:pPr/>
            <w:r>
              <w:t xml:space="preserve">Delgado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Alimentador general</w:t>
            </w:r>
          </w:p>
        </w:tc>
        <w:tc>
          <w:tcPr>
            <w:tcW w:w="3120" w:type="dxa"/>
          </w:tcPr>
          <w:p>
            <w:pPr/>
            <w:r>
              <w:t xml:space="preserve">Todo el gabinete</w:t>
            </w:r>
          </w:p>
        </w:tc>
        <w:tc>
          <w:tcPr>
            <w:tcW w:w="3120" w:type="dxa"/>
          </w:tcPr>
          <w:p>
            <w:pPr/>
            <w:r>
              <w:t xml:space="preserve">Grueso</w:t>
            </w:r>
          </w:p>
        </w:tc>
      </w:tr>
    </w:tbl>
    <w:p>
      <w:pPr>
        <w:pStyle w:val="Heading2"/>
      </w:pPr>
      <w:r>
        <w:t xml:space="preserve">5. Supuestos y limitaciones</w:t>
      </w:r>
    </w:p>
    <w:p>
      <w:pPr>
        <w:pStyle w:val="ListParagraph"/>
        <w:numPr>
          <w:ilvl w:val="0"/>
          <w:numId w:val="3"/>
        </w:numPr>
      </w:pPr>
      <w:r>
        <w:t xml:space="preserve">Las corrientes son estimaciones típicas, sin datos de placa.</w:t>
      </w:r>
    </w:p>
    <w:p>
      <w:pPr>
        <w:pStyle w:val="ListParagraph"/>
        <w:numPr>
          <w:ilvl w:val="0"/>
          <w:numId w:val="3"/>
        </w:numPr>
      </w:pPr>
      <w:r>
        <w:t xml:space="preserve">Se asumen condiciones ambientales normales, sin considerar el calor dentro del gabinete.</w:t>
      </w:r>
    </w:p>
    <w:p>
      <w:pPr>
        <w:pStyle w:val="ListParagraph"/>
        <w:numPr>
          <w:ilvl w:val="0"/>
          <w:numId w:val="3"/>
        </w:numPr>
      </w:pPr>
      <w:r>
        <w:t xml:space="preserve">No se considera el agrupamiento de varios conductores en una misma canalización.</w:t>
      </w:r>
    </w:p>
    <w:p>
      <w:pPr>
        <w:pStyle w:val="ListParagraph"/>
        <w:numPr>
          <w:ilvl w:val="0"/>
          <w:numId w:val="3"/>
        </w:numPr>
      </w:pPr>
      <w:r>
        <w:t xml:space="preserve">No se revisa la caída de tensión por la distancia a los motores.</w:t>
      </w:r>
    </w:p>
    <w:p>
      <w:pPr>
        <w:pStyle w:val="ListParagraph"/>
        <w:numPr>
          <w:ilvl w:val="0"/>
          <w:numId w:val="3"/>
        </w:numPr>
      </w:pPr>
      <w:r>
        <w:t xml:space="preserve">No se considera el efecto del arranque directo.</w:t>
      </w:r>
    </w:p>
    <w:p>
      <w:pPr>
        <w:pStyle w:val="ListParagraph"/>
        <w:numPr>
          <w:ilvl w:val="0"/>
          <w:numId w:val="3"/>
        </w:numPr>
      </w:pPr>
      <w:r>
        <w:t xml:space="preserve">La coordinación con protecciones queda para la tarea de protecciones.</w:t>
      </w:r>
    </w:p>
    <w:p>
      <w:pPr>
        <w:pStyle w:val="Heading2"/>
      </w:pPr>
      <w:r>
        <w:t xml:space="preserve">6. Pendientes</w:t>
      </w:r>
    </w:p>
    <w:p>
      <w:pPr/>
      <w:r>
        <w:t xml:space="preserve">Validar los calibres con la norma aplicable, con las distancias reales y con la compatibilidad de los bornes de los equipos antes de pasar a la construcción.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Propuesta inicial de conductores — Gabinete de potencia (v0)</dc:title>
  <dc:description>Claude Docs node/4972be58-0e02@1 docx-w6</dc:description>
  <cp:revision>1</cp:revision>
</cp:coreProperties>
</file>