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DECISIONES METODOLÓGICAS IMPORTANTES</w:t>
      </w:r>
    </w:p>
    <w:p>
      <w:pPr>
        <w:spacing w:after="120"/>
      </w:pPr>
      <w:r>
        <w:rPr>
          <w:i/>
          <w:iCs/>
          <w:sz w:val="22"/>
          <w:szCs w:val="22"/>
        </w:rPr>
        <w:t xml:space="preserve">Proyecto de análisis de precios y promociones — DIA vs. Carrefour</w:t>
      </w:r>
    </w:p>
    <w:p>
      <w:pPr>
        <w:spacing w:after="120"/>
      </w:pPr>
      <w:r>
        <w:t xml:space="preserve">Registro de las principales decisiones metodológicas adoptadas durante el proyecto. Su objetivo es facilitar la reproducibilidad y permitir justificar los criterios utilizados. Se actualiza a medida que avanza cada etapa.</w:t>
      </w:r>
    </w:p>
    <w:p>
      <w:pPr>
        <w:pStyle w:val="Heading1"/>
        <w:spacing w:after="160" w:before="320"/>
      </w:pPr>
      <w:r>
        <w:t xml:space="preserve">1. Alcance y unidad de análisis</w:t>
      </w:r>
    </w:p>
    <w:p>
      <w:pPr>
        <w:pStyle w:val="ListParagraph"/>
        <w:numPr>
          <w:ilvl w:val="0"/>
          <w:numId w:val="2"/>
        </w:numPr>
        <w:spacing w:after="60"/>
      </w:pPr>
      <w:r>
        <w:rPr>
          <w:b/>
          <w:bCs/>
        </w:rPr>
        <w:t xml:space="preserve">Período: </w:t>
      </w:r>
      <w:r>
        <w:t xml:space="preserve">Los datos corresponden a julio de 2026; las conclusiones de esta etapa se limitan a ese período.</w:t>
      </w:r>
    </w:p>
    <w:p>
      <w:pPr>
        <w:pStyle w:val="ListParagraph"/>
        <w:numPr>
          <w:ilvl w:val="0"/>
          <w:numId w:val="2"/>
        </w:numPr>
        <w:spacing w:after="60"/>
      </w:pPr>
      <w:r>
        <w:rPr>
          <w:b/>
          <w:bCs/>
        </w:rPr>
        <w:t xml:space="preserve">Fuente: </w:t>
      </w:r>
      <w:r>
        <w:t xml:space="preserve">Datos del Sistema SEPA para DIA y Carrefour (datasets de productos y de sucursales).</w:t>
      </w:r>
    </w:p>
    <w:p>
      <w:pPr>
        <w:pStyle w:val="ListParagraph"/>
        <w:numPr>
          <w:ilvl w:val="0"/>
          <w:numId w:val="2"/>
        </w:numPr>
        <w:spacing w:after="60"/>
      </w:pPr>
      <w:r>
        <w:rPr>
          <w:b/>
          <w:bCs/>
        </w:rPr>
        <w:t xml:space="preserve">Unidad de análisis: </w:t>
      </w:r>
      <w:r>
        <w:t xml:space="preserve">Una observación representa un producto determinado en una sucursal determinada.</w:t>
      </w:r>
    </w:p>
    <w:p>
      <w:pPr>
        <w:pStyle w:val="ListParagraph"/>
        <w:numPr>
          <w:ilvl w:val="0"/>
          <w:numId w:val="2"/>
        </w:numPr>
        <w:spacing w:after="60"/>
      </w:pPr>
      <w:r>
        <w:rPr>
          <w:b/>
          <w:bCs/>
        </w:rPr>
        <w:t xml:space="preserve">Clave de observación: </w:t>
      </w:r>
      <w:r>
        <w:t xml:space="preserve">id_producto + id_sucursal se utiliza como referencia para identificar una observación única.</w:t>
      </w:r>
    </w:p>
    <w:p>
      <w:pPr>
        <w:pStyle w:val="ListParagraph"/>
        <w:numPr>
          <w:ilvl w:val="0"/>
          <w:numId w:val="2"/>
        </w:numPr>
        <w:spacing w:after="60"/>
      </w:pPr>
      <w:r>
        <w:rPr>
          <w:b/>
          <w:bCs/>
        </w:rPr>
        <w:t xml:space="preserve">Universo comparable: </w:t>
      </w:r>
      <w:r>
        <w:t xml:space="preserve">Las comparaciones entre cadenas se realizan sobre los productos comunes identificados mediante id_producto.</w:t>
      </w:r>
    </w:p>
    <w:p>
      <w:pPr>
        <w:pStyle w:val="Heading1"/>
        <w:spacing w:after="160" w:before="320"/>
      </w:pPr>
      <w:r>
        <w:t xml:space="preserve">2. Preparación y control de calidad</w:t>
      </w:r>
    </w:p>
    <w:p>
      <w:pPr>
        <w:pStyle w:val="ListParagraph"/>
        <w:numPr>
          <w:ilvl w:val="0"/>
          <w:numId w:val="2"/>
        </w:numPr>
        <w:spacing w:after="60"/>
      </w:pPr>
      <w:r>
        <w:rPr>
          <w:b/>
          <w:bCs/>
        </w:rPr>
        <w:t xml:space="preserve">Importación: </w:t>
      </w:r>
      <w:r>
        <w:t xml:space="preserve">Los campos se trataron como texto durante la importación para evitar conversiones no deseadas.</w:t>
      </w:r>
    </w:p>
    <w:p>
      <w:pPr>
        <w:pStyle w:val="ListParagraph"/>
        <w:numPr>
          <w:ilvl w:val="0"/>
          <w:numId w:val="2"/>
        </w:numPr>
        <w:spacing w:after="60"/>
      </w:pPr>
      <w:r>
        <w:rPr>
          <w:b/>
          <w:bCs/>
        </w:rPr>
        <w:t xml:space="preserve">Registros no correspondientes a productos: </w:t>
      </w:r>
      <w:r>
        <w:t xml:space="preserve">Se identificaron y eliminaron registros que no corresponden a productos.</w:t>
      </w:r>
    </w:p>
    <w:p>
      <w:pPr>
        <w:pStyle w:val="ListParagraph"/>
        <w:numPr>
          <w:ilvl w:val="0"/>
          <w:numId w:val="2"/>
        </w:numPr>
        <w:spacing w:after="60"/>
      </w:pPr>
      <w:r>
        <w:rPr>
          <w:b/>
          <w:bCs/>
        </w:rPr>
        <w:t xml:space="preserve">Valores nulos: </w:t>
      </w:r>
      <w:r>
        <w:t xml:space="preserve">Se revisaron los valores nulos y se eliminó el registro final de metadatos de SEPA cuando id_producto era NaN.</w:t>
      </w:r>
    </w:p>
    <w:p>
      <w:pPr>
        <w:pStyle w:val="ListParagraph"/>
        <w:numPr>
          <w:ilvl w:val="0"/>
          <w:numId w:val="2"/>
        </w:numPr>
        <w:spacing w:after="60"/>
      </w:pPr>
      <w:r>
        <w:rPr>
          <w:b/>
          <w:bCs/>
        </w:rPr>
        <w:t xml:space="preserve">Duplicados: </w:t>
      </w:r>
      <w:r>
        <w:t xml:space="preserve">Se verificó id_producto + id_sucursal; no se encontraron duplicados en los datasets analizados.</w:t>
      </w:r>
    </w:p>
    <w:p>
      <w:pPr>
        <w:pStyle w:val="ListParagraph"/>
        <w:numPr>
          <w:ilvl w:val="0"/>
          <w:numId w:val="2"/>
        </w:numPr>
        <w:spacing w:after="60"/>
      </w:pPr>
      <w:r>
        <w:rPr>
          <w:b/>
          <w:bCs/>
        </w:rPr>
        <w:t xml:space="preserve">Variables: </w:t>
      </w:r>
      <w:r>
        <w:t xml:space="preserve">Se seleccionaron las variables necesarias para las comparaciones y análisis posteriores.</w:t>
      </w:r>
    </w:p>
    <w:p>
      <w:pPr>
        <w:pStyle w:val="Heading1"/>
        <w:spacing w:after="160" w:before="320"/>
      </w:pPr>
      <w:r>
        <w:t xml:space="preserve">3. Integración de DIA y Carrefour</w:t>
      </w:r>
    </w:p>
    <w:p>
      <w:pPr>
        <w:spacing w:after="120"/>
      </w:pPr>
      <w:r>
        <w:t xml:space="preserve">Se utiliza id_producto para identificar el universo de productos compartidos y restringir las comparaciones a una base común entre ambas cadenas.</w:t>
      </w:r>
    </w:p>
    <w:p>
      <w:pPr>
        <w:pStyle w:val="Heading1"/>
        <w:spacing w:after="160" w:before="320"/>
      </w:pPr>
      <w:r>
        <w:t xml:space="preserve">4. Medición de la dispersión de precios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100"/>
      </w:tblGrid>
      <w:tr>
        <w:trPr>
          <w:tblHeader/>
        </w:trPr>
        <w:tc>
          <w:tcPr>
            <w:tcW w:type="dxa" w:w="2400"/>
            <w:shd w:fill="D9D9D9" w:val="clear"/>
            <w:tcMar>
              <w:top w:type="dxa" w:w="80"/>
              <w:left w:type="dxa" w:w="100"/>
              <w:bottom w:type="dxa" w:w="80"/>
              <w:right w:type="dxa" w:w="100"/>
            </w:tcMar>
          </w:tcPr>
          <w:p>
            <w:r>
              <w:rPr>
                <w:b/>
                <w:bCs/>
              </w:rPr>
              <w:t xml:space="preserve">Dimensión</w:t>
            </w:r>
          </w:p>
        </w:tc>
        <w:tc>
          <w:tcPr>
            <w:tcW w:type="dxa" w:w="1600"/>
            <w:shd w:fill="D9D9D9" w:val="clear"/>
            <w:tcMar>
              <w:top w:type="dxa" w:w="80"/>
              <w:left w:type="dxa" w:w="100"/>
              <w:bottom w:type="dxa" w:w="80"/>
              <w:right w:type="dxa" w:w="100"/>
            </w:tcMar>
          </w:tcPr>
          <w:p>
            <w:r>
              <w:rPr>
                <w:b/>
                <w:bCs/>
              </w:rPr>
              <w:t xml:space="preserve">Métrica</w:t>
            </w:r>
          </w:p>
        </w:tc>
        <w:tc>
          <w:tcPr>
            <w:tcW w:type="dxa" w:w="6100"/>
            <w:shd w:fill="D9D9D9" w:val="clear"/>
            <w:tcMar>
              <w:top w:type="dxa" w:w="80"/>
              <w:left w:type="dxa" w:w="100"/>
              <w:bottom w:type="dxa" w:w="80"/>
              <w:right w:type="dxa" w:w="100"/>
            </w:tcMar>
          </w:tcPr>
          <w:p>
            <w:r>
              <w:rPr>
                <w:b/>
                <w:bCs/>
              </w:rPr>
              <w:t xml:space="preserve">Criterio</w:t>
            </w:r>
          </w:p>
        </w:tc>
      </w:tr>
      <w:tr>
        <w:tc>
          <w:tcPr>
            <w:tcW w:type="dxa" w:w="2400"/>
            <w:tcMar>
              <w:top w:type="dxa" w:w="80"/>
              <w:left w:type="dxa" w:w="100"/>
              <w:bottom w:type="dxa" w:w="80"/>
              <w:right w:type="dxa" w:w="100"/>
            </w:tcMar>
          </w:tcPr>
          <w:p>
            <w:r>
              <w:rPr>
                <w:b w:val="false"/>
                <w:bCs w:val="false"/>
              </w:rPr>
              <w:t xml:space="preserve">Brecha entre extremos</w:t>
            </w:r>
          </w:p>
        </w:tc>
        <w:tc>
          <w:tcPr>
            <w:tcW w:type="dxa" w:w="1600"/>
            <w:tcMar>
              <w:top w:type="dxa" w:w="80"/>
              <w:left w:type="dxa" w:w="100"/>
              <w:bottom w:type="dxa" w:w="80"/>
              <w:right w:type="dxa" w:w="100"/>
            </w:tcMar>
          </w:tcPr>
          <w:p>
            <w:r>
              <w:rPr>
                <w:b w:val="false"/>
                <w:bCs w:val="false"/>
              </w:rPr>
              <w:t xml:space="preserve">rango_pct</w:t>
            </w:r>
          </w:p>
        </w:tc>
        <w:tc>
          <w:tcPr>
            <w:tcW w:type="dxa" w:w="6100"/>
            <w:tcMar>
              <w:top w:type="dxa" w:w="80"/>
              <w:left w:type="dxa" w:w="100"/>
              <w:bottom w:type="dxa" w:w="80"/>
              <w:right w:type="dxa" w:w="100"/>
            </w:tcMar>
          </w:tcPr>
          <w:p>
            <w:r>
              <w:rPr>
                <w:b w:val="false"/>
                <w:bCs w:val="false"/>
              </w:rPr>
              <w:t xml:space="preserve">(max − min) / max × 100. Brecha entre precio mínimo y máximo como % del máximo.</w:t>
            </w:r>
          </w:p>
        </w:tc>
      </w:tr>
      <w:tr>
        <w:tc>
          <w:tcPr>
            <w:tcW w:type="dxa" w:w="2400"/>
            <w:tcMar>
              <w:top w:type="dxa" w:w="80"/>
              <w:left w:type="dxa" w:w="100"/>
              <w:bottom w:type="dxa" w:w="80"/>
              <w:right w:type="dxa" w:w="100"/>
            </w:tcMar>
          </w:tcPr>
          <w:p>
            <w:r>
              <w:rPr>
                <w:b w:val="false"/>
                <w:bCs w:val="false"/>
              </w:rPr>
              <w:t xml:space="preserve">Dispersión relativa</w:t>
            </w:r>
          </w:p>
        </w:tc>
        <w:tc>
          <w:tcPr>
            <w:tcW w:type="dxa" w:w="1600"/>
            <w:tcMar>
              <w:top w:type="dxa" w:w="80"/>
              <w:left w:type="dxa" w:w="100"/>
              <w:bottom w:type="dxa" w:w="80"/>
              <w:right w:type="dxa" w:w="100"/>
            </w:tcMar>
          </w:tcPr>
          <w:p>
            <w:r>
              <w:rPr>
                <w:b w:val="false"/>
                <w:bCs w:val="false"/>
              </w:rPr>
              <w:t xml:space="preserve">CV</w:t>
            </w:r>
          </w:p>
        </w:tc>
        <w:tc>
          <w:tcPr>
            <w:tcW w:type="dxa" w:w="6100"/>
            <w:tcMar>
              <w:top w:type="dxa" w:w="80"/>
              <w:left w:type="dxa" w:w="100"/>
              <w:bottom w:type="dxa" w:w="80"/>
              <w:right w:type="dxa" w:w="100"/>
            </w:tcMar>
          </w:tcPr>
          <w:p>
            <w:r>
              <w:rPr>
                <w:b w:val="false"/>
                <w:bCs w:val="false"/>
              </w:rPr>
              <w:t xml:space="preserve">desviación estándar / media. Complementa al rango considerando el nivel promedio.</w:t>
            </w:r>
          </w:p>
        </w:tc>
      </w:tr>
    </w:tbl>
    <w:p>
      <w:pPr>
        <w:spacing w:after="120"/>
      </w:pPr>
      <w:r>
        <w:t xml:space="preserve"/>
      </w:r>
    </w:p>
    <w:p>
      <w:pPr>
        <w:pBdr>
          <w:left w:val="single" w:color="999999" w:sz="12" w:space="8"/>
        </w:pBdr>
        <w:spacing w:after="160" w:before="60"/>
      </w:pPr>
      <w:r>
        <w:rPr>
          <w:i/>
          <w:iCs/>
        </w:rPr>
        <w:t xml:space="preserve">rango_pct y CV se consideran métricas complementarias, no equivalentes. El rango por sí solo no permite determinar el origen de una diferencia de precios. Ambas métricas pueden verse afectadas por valores extremos.</w:t>
      </w:r>
    </w:p>
    <w:p>
      <w:pPr>
        <w:pStyle w:val="Heading1"/>
        <w:spacing w:after="160" w:before="320"/>
      </w:pPr>
      <w:r>
        <w:t xml:space="preserve">5. Precio de lista y precio efectivo</w:t>
      </w:r>
    </w:p>
    <w:p>
      <w:pPr>
        <w:pStyle w:val="ListParagraph"/>
        <w:numPr>
          <w:ilvl w:val="0"/>
          <w:numId w:val="2"/>
        </w:numPr>
        <w:spacing w:after="60"/>
      </w:pPr>
      <w:r>
        <w:rPr>
          <w:b/>
          <w:bCs/>
        </w:rPr>
        <w:t xml:space="preserve">Precio de lista: </w:t>
      </w:r>
      <w:r>
        <w:t xml:space="preserve">Se conserva como dimensión independiente.</w:t>
      </w:r>
    </w:p>
    <w:p>
      <w:pPr>
        <w:pStyle w:val="ListParagraph"/>
        <w:numPr>
          <w:ilvl w:val="0"/>
          <w:numId w:val="2"/>
        </w:numPr>
        <w:spacing w:after="60"/>
      </w:pPr>
      <w:r>
        <w:rPr>
          <w:b/>
          <w:bCs/>
        </w:rPr>
        <w:t xml:space="preserve">Precio efectivo: </w:t>
      </w:r>
      <w:r>
        <w:t xml:space="preserve">Se construye tomando el menor valor entre el precio de lista y el correspondiente a promo1.</w:t>
      </w:r>
    </w:p>
    <w:p>
      <w:pPr>
        <w:pStyle w:val="ListParagraph"/>
        <w:numPr>
          <w:ilvl w:val="0"/>
          <w:numId w:val="2"/>
        </w:numPr>
        <w:spacing w:after="60"/>
      </w:pPr>
      <w:r>
        <w:rPr>
          <w:b/>
          <w:bCs/>
        </w:rPr>
        <w:t xml:space="preserve">promo2: </w:t>
      </w:r>
      <w:r>
        <w:t xml:space="preserve">Se mantiene separada por sus características particulares y no se incorpora automáticamente al precio efectivo.</w:t>
      </w:r>
    </w:p>
    <w:p>
      <w:pPr>
        <w:pStyle w:val="ListParagraph"/>
        <w:numPr>
          <w:ilvl w:val="0"/>
          <w:numId w:val="2"/>
        </w:numPr>
        <w:spacing w:after="60"/>
      </w:pPr>
      <w:r>
        <w:rPr>
          <w:b/>
          <w:bCs/>
        </w:rPr>
        <w:t xml:space="preserve">Comparación: </w:t>
      </w:r>
      <w:r>
        <w:t xml:space="preserve">La dispersión del precio de lista y del precio efectivo se compara de forma descriptiva, sin atribuir causalidad a las promociones.</w:t>
      </w:r>
    </w:p>
    <w:p>
      <w:pPr>
        <w:pStyle w:val="Heading1"/>
        <w:spacing w:after="160" w:before="320"/>
      </w:pPr>
      <w:r>
        <w:t xml:space="preserve">6. Tratamiento de las promociones</w:t>
      </w:r>
    </w:p>
    <w:p>
      <w:pPr>
        <w:pStyle w:val="ListParagraph"/>
        <w:numPr>
          <w:ilvl w:val="0"/>
          <w:numId w:val="2"/>
        </w:numPr>
        <w:spacing w:after="60"/>
      </w:pPr>
      <w:r>
        <w:rPr>
          <w:b/>
          <w:bCs/>
        </w:rPr>
        <w:t xml:space="preserve">promo1: </w:t>
      </w:r>
      <w:r>
        <w:t xml:space="preserve">Se analiza en frecuencia, profundidad del descuento y extensión entre sucursales; además, se incorpora al precio efectivo.</w:t>
      </w:r>
    </w:p>
    <w:p>
      <w:pPr>
        <w:pStyle w:val="ListParagraph"/>
        <w:numPr>
          <w:ilvl w:val="0"/>
          <w:numId w:val="2"/>
        </w:numPr>
        <w:spacing w:after="60"/>
      </w:pPr>
      <w:r>
        <w:rPr>
          <w:b/>
          <w:bCs/>
        </w:rPr>
        <w:t xml:space="preserve">promo2: </w:t>
      </w:r>
      <w:r>
        <w:t xml:space="preserve">Se analiza como variable independiente.</w:t>
      </w:r>
    </w:p>
    <w:p>
      <w:pPr>
        <w:pStyle w:val="ListParagraph"/>
        <w:numPr>
          <w:ilvl w:val="0"/>
          <w:numId w:val="2"/>
        </w:numPr>
        <w:spacing w:after="60"/>
      </w:pPr>
      <w:r>
        <w:rPr>
          <w:b/>
          <w:bCs/>
        </w:rPr>
        <w:t xml:space="preserve">contador_promos: </w:t>
      </w:r>
      <w:r>
        <w:t xml:space="preserve">Se utiliza para medir la presencia total de promociones, manteniendo promo1 y promo2 como dimensiones diferenciadas.</w:t>
      </w:r>
    </w:p>
    <w:p>
      <w:pPr>
        <w:pStyle w:val="ListParagraph"/>
        <w:numPr>
          <w:ilvl w:val="0"/>
          <w:numId w:val="2"/>
        </w:numPr>
        <w:spacing w:after="60"/>
      </w:pPr>
      <w:r>
        <w:rPr>
          <w:b/>
          <w:bCs/>
        </w:rPr>
        <w:t xml:space="preserve">Frecuencia: </w:t>
      </w:r>
      <w:r>
        <w:t xml:space="preserve">Se conserva tanto la presencia conjunta de promociones como la comparación específica de promo1 (necesaria porque Carrefour no registra promo2).</w:t>
      </w:r>
    </w:p>
    <w:p>
      <w:pPr>
        <w:pStyle w:val="ListParagraph"/>
        <w:numPr>
          <w:ilvl w:val="0"/>
          <w:numId w:val="2"/>
        </w:numPr>
        <w:spacing w:after="60"/>
      </w:pPr>
      <w:r>
        <w:rPr>
          <w:b/>
          <w:bCs/>
        </w:rPr>
        <w:t xml:space="preserve">Profundidad: </w:t>
      </w:r>
      <w:r>
        <w:t xml:space="preserve">descuento_pct mide la magnitud del descuento observado cuando promo1 está presente.</w:t>
      </w:r>
    </w:p>
    <w:p>
      <w:pPr>
        <w:pStyle w:val="Heading1"/>
        <w:spacing w:after="160" w:before="320"/>
      </w:pPr>
      <w:r>
        <w:t xml:space="preserve">7. Profundidad y alcance de las promociones</w:t>
      </w:r>
    </w:p>
    <w:p>
      <w:pPr>
        <w:pStyle w:val="ListParagraph"/>
        <w:numPr>
          <w:ilvl w:val="0"/>
          <w:numId w:val="2"/>
        </w:numPr>
        <w:spacing w:after="60"/>
      </w:pPr>
      <w:r>
        <w:rPr>
          <w:b/>
          <w:bCs/>
        </w:rPr>
        <w:t xml:space="preserve">Profundidad: </w:t>
      </w:r>
      <w:r>
        <w:t xml:space="preserve">descuento_pct representa cuánto descuenta la promoción.</w:t>
      </w:r>
    </w:p>
    <w:p>
      <w:pPr>
        <w:pStyle w:val="ListParagraph"/>
        <w:numPr>
          <w:ilvl w:val="0"/>
          <w:numId w:val="2"/>
        </w:numPr>
        <w:spacing w:after="60"/>
      </w:pPr>
      <w:r>
        <w:rPr>
          <w:b/>
          <w:bCs/>
        </w:rPr>
        <w:t xml:space="preserve">Alcance: </w:t>
      </w:r>
      <w:r>
        <w:t xml:space="preserve">frac_sucursales_con_promo representa la fracción de sucursales observadas donde aparece promo1.</w:t>
      </w:r>
    </w:p>
    <w:p>
      <w:pPr>
        <w:pStyle w:val="ListParagraph"/>
        <w:numPr>
          <w:ilvl w:val="0"/>
          <w:numId w:val="2"/>
        </w:numPr>
        <w:spacing w:after="60"/>
      </w:pPr>
      <w:r>
        <w:rPr>
          <w:b/>
          <w:bCs/>
        </w:rPr>
        <w:t xml:space="preserve">TOP 15: </w:t>
      </w:r>
      <w:r>
        <w:t xml:space="preserve">La selección se basa en el máximo descuento promo1 observado por producto: identifica los mayores descuentos puntuales, no el promedio.</w:t>
      </w:r>
    </w:p>
    <w:p>
      <w:pPr>
        <w:pStyle w:val="ListParagraph"/>
        <w:numPr>
          <w:ilvl w:val="0"/>
          <w:numId w:val="2"/>
        </w:numPr>
        <w:spacing w:after="60"/>
      </w:pPr>
      <w:r>
        <w:rPr>
          <w:b/>
          <w:bCs/>
        </w:rPr>
        <w:t xml:space="preserve">Cobertura: </w:t>
      </w:r>
      <w:r>
        <w:t xml:space="preserve">Se distingue entre cobertura generalizada, intermedia y ausencia de promo1 según la fracción de sucursales.</w:t>
      </w:r>
    </w:p>
    <w:p>
      <w:pPr>
        <w:pStyle w:val="Heading1"/>
        <w:spacing w:after="160" w:before="320"/>
      </w:pPr>
      <w:r>
        <w:t xml:space="preserve">8. Sucursales y análisis geográfico (Etapa 2)</w:t>
      </w:r>
    </w:p>
    <w:p>
      <w:pPr>
        <w:spacing w:after="120"/>
      </w:pPr>
      <w:r>
        <w:t xml:space="preserve">Se incorporaron los datasets de sucursales de ambas cadenas para habilitar comparaciones de precios por provincia. Las decisiones de esta etapa parten de los datasets de productos ya procesados en la Etapa 1.</w:t>
      </w:r>
    </w:p>
    <w:p>
      <w:pPr>
        <w:pStyle w:val="ListParagraph"/>
        <w:numPr>
          <w:ilvl w:val="0"/>
          <w:numId w:val="2"/>
        </w:numPr>
        <w:spacing w:after="60"/>
      </w:pPr>
      <w:r>
        <w:rPr>
          <w:b/>
          <w:bCs/>
        </w:rPr>
        <w:t xml:space="preserve">Importación: </w:t>
      </w:r>
      <w:r>
        <w:t xml:space="preserve">Igual criterio que en productos: campos como texto, para preservar identificadores y coordenadas sin conversión implícita.</w:t>
      </w:r>
    </w:p>
    <w:p>
      <w:pPr>
        <w:pStyle w:val="ListParagraph"/>
        <w:numPr>
          <w:ilvl w:val="0"/>
          <w:numId w:val="2"/>
        </w:numPr>
        <w:spacing w:after="60"/>
      </w:pPr>
      <w:r>
        <w:rPr>
          <w:b/>
          <w:bCs/>
        </w:rPr>
        <w:t xml:space="preserve">Metadatos: </w:t>
      </w:r>
      <w:r>
        <w:t xml:space="preserve">Se identificó y eliminó la misma fila de metadatos de SEPA ("Última actualización...") presente también en los archivos de sucursales.</w:t>
      </w:r>
    </w:p>
    <w:p>
      <w:pPr>
        <w:pStyle w:val="ListParagraph"/>
        <w:numPr>
          <w:ilvl w:val="0"/>
          <w:numId w:val="2"/>
        </w:numPr>
        <w:spacing w:after="60"/>
      </w:pPr>
      <w:r>
        <w:rPr>
          <w:b/>
          <w:bCs/>
        </w:rPr>
        <w:t xml:space="preserve">Registros incompletos (Carrefour): </w:t>
      </w:r>
      <w:r>
        <w:t xml:space="preserve">Se detectaron 36 registros de Carrefour con provincia nula y ausencia simultánea de horarios — un patrón de filas incompletas, no de campos aislados.</w:t>
      </w:r>
    </w:p>
    <w:p>
      <w:pPr>
        <w:pStyle w:val="ListParagraph"/>
        <w:numPr>
          <w:ilvl w:val="0"/>
          <w:numId w:val="2"/>
        </w:numPr>
        <w:spacing w:after="60"/>
      </w:pPr>
      <w:r>
        <w:rPr>
          <w:b/>
          <w:bCs/>
        </w:rPr>
        <w:t xml:space="preserve">Imputación de provincia: </w:t>
      </w:r>
      <w:r>
        <w:t xml:space="preserve">Los 36 casos se resolvieron con un criterio en cascada, aplicando cada método solo a lo no resuelto por el anterior: (1) coincidencia exacta entre localidad y nombre de provincia — 25 casos; (2) diccionario de ciudades conocidas (p. ej. Ciudad Autónoma de Buenos Aires, Mar del Plata); (3) inferencia por rango de coordenadas geográficas para los casos restantes, sin localidad informada.</w:t>
      </w:r>
    </w:p>
    <w:p>
      <w:pPr>
        <w:pBdr>
          <w:left w:val="single" w:color="999999" w:sz="12" w:space="8"/>
        </w:pBdr>
        <w:spacing w:after="160" w:before="60"/>
      </w:pPr>
      <w:r>
        <w:rPr>
          <w:i/>
          <w:iCs/>
        </w:rPr>
        <w:t xml:space="preserve">La inferencia por coordenadas (paso 3) es una aproximación basada en rangos observados en los datos, no una georreferenciación oficial. Es adecuada para un número acotado de casos, pero no reemplaza una fuente oficial de límites provinciales si el análisis lo requiriera más adelante.</w:t>
      </w:r>
    </w:p>
    <w:p>
      <w:pPr>
        <w:pStyle w:val="ListParagraph"/>
        <w:numPr>
          <w:ilvl w:val="0"/>
          <w:numId w:val="2"/>
        </w:numPr>
        <w:spacing w:after="60"/>
      </w:pPr>
      <w:r>
        <w:rPr>
          <w:b/>
          <w:bCs/>
        </w:rPr>
        <w:t xml:space="preserve">Formato pendiente de normalizar: </w:t>
      </w:r>
      <w:r>
        <w:t xml:space="preserve">sucursales_provincia combina hoy dos formatos —código ISO 3166-2 en los registros originales y nombre completo en los imputados— pendiente de unificar antes de agrupar por provincia.</w:t>
      </w:r>
    </w:p>
    <w:p>
      <w:pPr>
        <w:pStyle w:val="ListParagraph"/>
        <w:numPr>
          <w:ilvl w:val="0"/>
          <w:numId w:val="2"/>
        </w:numPr>
        <w:spacing w:after="60"/>
      </w:pPr>
      <w:r>
        <w:rPr>
          <w:b/>
          <w:bCs/>
        </w:rPr>
        <w:t xml:space="preserve">Caso puntual pendiente (DIA): </w:t>
      </w:r>
      <w:r>
        <w:t xml:space="preserve">Un registro de DIA presenta la provincia en texto libre ("Buenos Aires") en lugar del código ISO correspondiente; pendiente de corrección puntual.</w:t>
      </w:r>
    </w:p>
    <w:p>
      <w:pPr>
        <w:pStyle w:val="ListParagraph"/>
        <w:numPr>
          <w:ilvl w:val="0"/>
          <w:numId w:val="2"/>
        </w:numPr>
        <w:spacing w:after="60"/>
      </w:pPr>
      <w:r>
        <w:rPr>
          <w:b/>
          <w:bCs/>
        </w:rPr>
        <w:t xml:space="preserve">Clave de cruce prevista con productos: </w:t>
      </w:r>
      <w:r>
        <w:t xml:space="preserve">id_comercio + id_sucursal, para vincular cada observación de precio con su provincia y tipo de sucursal.</w:t>
      </w:r>
    </w:p>
    <w:p>
      <w:pPr>
        <w:pStyle w:val="Heading1"/>
        <w:spacing w:after="160" w:before="320"/>
      </w:pPr>
      <w:r>
        <w:t xml:space="preserve">9. Criterios de interpretación</w:t>
      </w:r>
    </w:p>
    <w:p>
      <w:pPr>
        <w:pStyle w:val="ListParagraph"/>
        <w:numPr>
          <w:ilvl w:val="0"/>
          <w:numId w:val="2"/>
        </w:numPr>
        <w:spacing w:after="60"/>
      </w:pPr>
      <w:r>
        <w:t xml:space="preserve">Un rango elevado no se interpreta automáticamente como consecuencia de promociones.</w:t>
      </w:r>
    </w:p>
    <w:p>
      <w:pPr>
        <w:pStyle w:val="ListParagraph"/>
        <w:numPr>
          <w:ilvl w:val="0"/>
          <w:numId w:val="2"/>
        </w:numPr>
        <w:spacing w:after="60"/>
      </w:pPr>
      <w:r>
        <w:t xml:space="preserve">La comparación entre precio de lista y precio efectivo es descriptiva y no establece causalidad.</w:t>
      </w:r>
    </w:p>
    <w:p>
      <w:pPr>
        <w:pStyle w:val="ListParagraph"/>
        <w:numPr>
          <w:ilvl w:val="0"/>
          <w:numId w:val="2"/>
        </w:numPr>
        <w:spacing w:after="60"/>
      </w:pPr>
      <w:r>
        <w:t xml:space="preserve">Un descuento elevado no implica necesariamente una cobertura elevada entre sucursales.</w:t>
      </w:r>
    </w:p>
    <w:p>
      <w:pPr>
        <w:pStyle w:val="ListParagraph"/>
        <w:numPr>
          <w:ilvl w:val="0"/>
          <w:numId w:val="2"/>
        </w:numPr>
        <w:spacing w:after="60"/>
      </w:pPr>
      <w:r>
        <w:t xml:space="preserve">La ausencia de promo2 en Carrefour dentro del universo común no implica ausencia de promo2 en toda la estrategia comercial de la cadena.</w:t>
      </w:r>
    </w:p>
    <w:p>
      <w:pPr>
        <w:pStyle w:val="ListParagraph"/>
        <w:numPr>
          <w:ilvl w:val="0"/>
          <w:numId w:val="2"/>
        </w:numPr>
        <w:spacing w:after="60"/>
      </w:pPr>
      <w:r>
        <w:t xml:space="preserve">Los resultados de precios se interpretan sobre el universo de productos comunes identificado en los datasets.</w:t>
      </w:r>
    </w:p>
    <w:p>
      <w:pPr>
        <w:pStyle w:val="ListParagraph"/>
        <w:numPr>
          <w:ilvl w:val="0"/>
          <w:numId w:val="2"/>
        </w:numPr>
        <w:spacing w:after="60"/>
      </w:pPr>
      <w:r>
        <w:t xml:space="preserve">La imputación geográfica de Carrefour se interpreta como una solución razonable para el universo de sucursales analizado, no como una fuente geográfica definitiva.</w:t>
      </w:r>
    </w:p>
    <w:p>
      <w:pPr>
        <w:pStyle w:val="Heading1"/>
        <w:spacing w:after="160" w:before="320"/>
      </w:pPr>
      <w:r>
        <w:t xml:space="preserve">10. Decisiones pendientes para etapas posteriores</w:t>
      </w:r>
    </w:p>
    <w:p>
      <w:pPr>
        <w:pStyle w:val="ListParagraph"/>
        <w:numPr>
          <w:ilvl w:val="0"/>
          <w:numId w:val="2"/>
        </w:numPr>
        <w:spacing w:after="60"/>
      </w:pPr>
      <w:r>
        <w:rPr>
          <w:b/>
          <w:bCs/>
        </w:rPr>
        <w:t xml:space="preserve">Sucursales y geografía (en curso): </w:t>
      </w:r>
      <w:r>
        <w:t xml:space="preserve">Normalizar el formato de provincia y cruzar productos con sucursales para comparar precios por región.</w:t>
      </w:r>
    </w:p>
    <w:p>
      <w:pPr>
        <w:pStyle w:val="ListParagraph"/>
        <w:numPr>
          <w:ilvl w:val="0"/>
          <w:numId w:val="2"/>
        </w:numPr>
        <w:spacing w:after="60"/>
      </w:pPr>
      <w:r>
        <w:rPr>
          <w:b/>
          <w:bCs/>
        </w:rPr>
        <w:t xml:space="preserve">Canasta comparable: </w:t>
      </w:r>
      <w:r>
        <w:t xml:space="preserve">Definición de una canasta comparable y su metodología de selección.</w:t>
      </w:r>
    </w:p>
    <w:p>
      <w:pPr>
        <w:pStyle w:val="ListParagraph"/>
        <w:numPr>
          <w:ilvl w:val="0"/>
          <w:numId w:val="2"/>
        </w:numPr>
        <w:spacing w:after="60"/>
      </w:pPr>
      <w:r>
        <w:rPr>
          <w:b/>
          <w:bCs/>
        </w:rPr>
        <w:t xml:space="preserve">Categorías comerciales: </w:t>
      </w:r>
      <w:r>
        <w:t xml:space="preserve">Clasificación de productos por categorías comerciales.</w:t>
      </w:r>
    </w:p>
    <w:p>
      <w:pPr>
        <w:pStyle w:val="ListParagraph"/>
        <w:numPr>
          <w:ilvl w:val="0"/>
          <w:numId w:val="2"/>
        </w:numPr>
        <w:spacing w:after="60"/>
      </w:pPr>
      <w:r>
        <w:rPr>
          <w:b/>
          <w:bCs/>
        </w:rPr>
        <w:t xml:space="preserve">NLP: </w:t>
      </w:r>
      <w:r>
        <w:t xml:space="preserve">Etiquetado manual y clasificación automática mediante NLP.</w:t>
      </w:r>
    </w:p>
    <w:p>
      <w:pPr>
        <w:pStyle w:val="ListParagraph"/>
        <w:numPr>
          <w:ilvl w:val="0"/>
          <w:numId w:val="2"/>
        </w:numPr>
        <w:spacing w:after="60"/>
      </w:pPr>
      <w:r>
        <w:rPr>
          <w:b/>
          <w:bCs/>
        </w:rPr>
        <w:t xml:space="preserve">Machine Learning: </w:t>
      </w:r>
      <w:r>
        <w:t xml:space="preserve">Evaluación de aplicaciones de Machine Learning una vez enriquecidos los datos.</w:t>
      </w:r>
    </w:p>
    <w:p>
      <w:pPr>
        <w:pStyle w:val="Heading1"/>
        <w:spacing w:after="160" w:before="320"/>
      </w:pPr>
      <w:r>
        <w:t xml:space="preserve">11. Resumen de decisiones clave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D9D9D9" w:val="clear"/>
            <w:tcMar>
              <w:top w:type="dxa" w:w="80"/>
              <w:left w:type="dxa" w:w="100"/>
              <w:bottom w:type="dxa" w:w="80"/>
              <w:right w:type="dxa" w:w="100"/>
            </w:tcMar>
          </w:tcPr>
          <w:p>
            <w:r>
              <w:rPr>
                <w:b/>
                <w:bCs/>
              </w:rPr>
              <w:t xml:space="preserve">Decisión</w:t>
            </w:r>
          </w:p>
        </w:tc>
        <w:tc>
          <w:tcPr>
            <w:tcW w:type="dxa" w:w="7500"/>
            <w:shd w:fill="D9D9D9" w:val="clear"/>
            <w:tcMar>
              <w:top w:type="dxa" w:w="80"/>
              <w:left w:type="dxa" w:w="100"/>
              <w:bottom w:type="dxa" w:w="80"/>
              <w:right w:type="dxa" w:w="100"/>
            </w:tcMar>
          </w:tcPr>
          <w:p>
            <w:r>
              <w:rPr>
                <w:b/>
                <w:bCs/>
              </w:rPr>
              <w:t xml:space="preserve">Criterio adoptado</w:t>
            </w:r>
          </w:p>
        </w:tc>
      </w:tr>
      <w:tr>
        <w:tc>
          <w:tcPr>
            <w:tcW w:type="dxa" w:w="2600"/>
            <w:tcMar>
              <w:top w:type="dxa" w:w="80"/>
              <w:left w:type="dxa" w:w="100"/>
              <w:bottom w:type="dxa" w:w="80"/>
              <w:right w:type="dxa" w:w="100"/>
            </w:tcMar>
          </w:tcPr>
          <w:p>
            <w:r>
              <w:rPr>
                <w:b w:val="false"/>
                <w:bCs w:val="false"/>
              </w:rPr>
              <w:t xml:space="preserve">Universo</w:t>
            </w:r>
          </w:p>
        </w:tc>
        <w:tc>
          <w:tcPr>
            <w:tcW w:type="dxa" w:w="7500"/>
            <w:tcMar>
              <w:top w:type="dxa" w:w="80"/>
              <w:left w:type="dxa" w:w="100"/>
              <w:bottom w:type="dxa" w:w="80"/>
              <w:right w:type="dxa" w:w="100"/>
            </w:tcMar>
          </w:tcPr>
          <w:p>
            <w:r>
              <w:rPr>
                <w:b w:val="false"/>
                <w:bCs w:val="false"/>
              </w:rPr>
              <w:t xml:space="preserve">Productos comunes entre DIA y Carrefour.</w:t>
            </w:r>
          </w:p>
        </w:tc>
      </w:tr>
      <w:tr>
        <w:tc>
          <w:tcPr>
            <w:tcW w:type="dxa" w:w="2600"/>
            <w:tcMar>
              <w:top w:type="dxa" w:w="80"/>
              <w:left w:type="dxa" w:w="100"/>
              <w:bottom w:type="dxa" w:w="80"/>
              <w:right w:type="dxa" w:w="100"/>
            </w:tcMar>
          </w:tcPr>
          <w:p>
            <w:r>
              <w:rPr>
                <w:b w:val="false"/>
                <w:bCs w:val="false"/>
              </w:rPr>
              <w:t xml:space="preserve">Observación</w:t>
            </w:r>
          </w:p>
        </w:tc>
        <w:tc>
          <w:tcPr>
            <w:tcW w:type="dxa" w:w="7500"/>
            <w:tcMar>
              <w:top w:type="dxa" w:w="80"/>
              <w:left w:type="dxa" w:w="100"/>
              <w:bottom w:type="dxa" w:w="80"/>
              <w:right w:type="dxa" w:w="100"/>
            </w:tcMar>
          </w:tcPr>
          <w:p>
            <w:r>
              <w:rPr>
                <w:b w:val="false"/>
                <w:bCs w:val="false"/>
              </w:rPr>
              <w:t xml:space="preserve">Producto + sucursal.</w:t>
            </w:r>
          </w:p>
        </w:tc>
      </w:tr>
      <w:tr>
        <w:tc>
          <w:tcPr>
            <w:tcW w:type="dxa" w:w="2600"/>
            <w:tcMar>
              <w:top w:type="dxa" w:w="80"/>
              <w:left w:type="dxa" w:w="100"/>
              <w:bottom w:type="dxa" w:w="80"/>
              <w:right w:type="dxa" w:w="100"/>
            </w:tcMar>
          </w:tcPr>
          <w:p>
            <w:r>
              <w:rPr>
                <w:b w:val="false"/>
                <w:bCs w:val="false"/>
              </w:rPr>
              <w:t xml:space="preserve">Dispersión</w:t>
            </w:r>
          </w:p>
        </w:tc>
        <w:tc>
          <w:tcPr>
            <w:tcW w:type="dxa" w:w="7500"/>
            <w:tcMar>
              <w:top w:type="dxa" w:w="80"/>
              <w:left w:type="dxa" w:w="100"/>
              <w:bottom w:type="dxa" w:w="80"/>
              <w:right w:type="dxa" w:w="100"/>
            </w:tcMar>
          </w:tcPr>
          <w:p>
            <w:r>
              <w:rPr>
                <w:b w:val="false"/>
                <w:bCs w:val="false"/>
              </w:rPr>
              <w:t xml:space="preserve">rango_pct + CV.</w:t>
            </w:r>
          </w:p>
        </w:tc>
      </w:tr>
      <w:tr>
        <w:tc>
          <w:tcPr>
            <w:tcW w:type="dxa" w:w="2600"/>
            <w:tcMar>
              <w:top w:type="dxa" w:w="80"/>
              <w:left w:type="dxa" w:w="100"/>
              <w:bottom w:type="dxa" w:w="80"/>
              <w:right w:type="dxa" w:w="100"/>
            </w:tcMar>
          </w:tcPr>
          <w:p>
            <w:r>
              <w:rPr>
                <w:b w:val="false"/>
                <w:bCs w:val="false"/>
              </w:rPr>
              <w:t xml:space="preserve">Precio efectivo</w:t>
            </w:r>
          </w:p>
        </w:tc>
        <w:tc>
          <w:tcPr>
            <w:tcW w:type="dxa" w:w="7500"/>
            <w:tcMar>
              <w:top w:type="dxa" w:w="80"/>
              <w:left w:type="dxa" w:w="100"/>
              <w:bottom w:type="dxa" w:w="80"/>
              <w:right w:type="dxa" w:w="100"/>
            </w:tcMar>
          </w:tcPr>
          <w:p>
            <w:r>
              <w:rPr>
                <w:b w:val="false"/>
                <w:bCs w:val="false"/>
              </w:rPr>
              <w:t xml:space="preserve">Mínimo entre precio de lista y promo1.</w:t>
            </w:r>
          </w:p>
        </w:tc>
      </w:tr>
      <w:tr>
        <w:tc>
          <w:tcPr>
            <w:tcW w:type="dxa" w:w="2600"/>
            <w:tcMar>
              <w:top w:type="dxa" w:w="80"/>
              <w:left w:type="dxa" w:w="100"/>
              <w:bottom w:type="dxa" w:w="80"/>
              <w:right w:type="dxa" w:w="100"/>
            </w:tcMar>
          </w:tcPr>
          <w:p>
            <w:r>
              <w:rPr>
                <w:b w:val="false"/>
                <w:bCs w:val="false"/>
              </w:rPr>
              <w:t xml:space="preserve">promo2</w:t>
            </w:r>
          </w:p>
        </w:tc>
        <w:tc>
          <w:tcPr>
            <w:tcW w:type="dxa" w:w="7500"/>
            <w:tcMar>
              <w:top w:type="dxa" w:w="80"/>
              <w:left w:type="dxa" w:w="100"/>
              <w:bottom w:type="dxa" w:w="80"/>
              <w:right w:type="dxa" w:w="100"/>
            </w:tcMar>
          </w:tcPr>
          <w:p>
            <w:r>
              <w:rPr>
                <w:b w:val="false"/>
                <w:bCs w:val="false"/>
              </w:rPr>
              <w:t xml:space="preserve">Se mantiene independiente.</w:t>
            </w:r>
          </w:p>
        </w:tc>
      </w:tr>
      <w:tr>
        <w:tc>
          <w:tcPr>
            <w:tcW w:type="dxa" w:w="2600"/>
            <w:tcMar>
              <w:top w:type="dxa" w:w="80"/>
              <w:left w:type="dxa" w:w="100"/>
              <w:bottom w:type="dxa" w:w="80"/>
              <w:right w:type="dxa" w:w="100"/>
            </w:tcMar>
          </w:tcPr>
          <w:p>
            <w:r>
              <w:rPr>
                <w:b w:val="false"/>
                <w:bCs w:val="false"/>
              </w:rPr>
              <w:t xml:space="preserve">Promociones</w:t>
            </w:r>
          </w:p>
        </w:tc>
        <w:tc>
          <w:tcPr>
            <w:tcW w:type="dxa" w:w="7500"/>
            <w:tcMar>
              <w:top w:type="dxa" w:w="80"/>
              <w:left w:type="dxa" w:w="100"/>
              <w:bottom w:type="dxa" w:w="80"/>
              <w:right w:type="dxa" w:w="100"/>
            </w:tcMar>
          </w:tcPr>
          <w:p>
            <w:r>
              <w:rPr>
                <w:b w:val="false"/>
                <w:bCs w:val="false"/>
              </w:rPr>
              <w:t xml:space="preserve">Se separan frecuencia, profundidad y alcance.</w:t>
            </w:r>
          </w:p>
        </w:tc>
      </w:tr>
      <w:tr>
        <w:tc>
          <w:tcPr>
            <w:tcW w:type="dxa" w:w="2600"/>
            <w:tcMar>
              <w:top w:type="dxa" w:w="80"/>
              <w:left w:type="dxa" w:w="100"/>
              <w:bottom w:type="dxa" w:w="80"/>
              <w:right w:type="dxa" w:w="100"/>
            </w:tcMar>
          </w:tcPr>
          <w:p>
            <w:r>
              <w:rPr>
                <w:b w:val="false"/>
                <w:bCs w:val="false"/>
              </w:rPr>
              <w:t xml:space="preserve">TOP 15</w:t>
            </w:r>
          </w:p>
        </w:tc>
        <w:tc>
          <w:tcPr>
            <w:tcW w:type="dxa" w:w="7500"/>
            <w:tcMar>
              <w:top w:type="dxa" w:w="80"/>
              <w:left w:type="dxa" w:w="100"/>
              <w:bottom w:type="dxa" w:w="80"/>
              <w:right w:type="dxa" w:w="100"/>
            </w:tcMar>
          </w:tcPr>
          <w:p>
            <w:r>
              <w:rPr>
                <w:b w:val="false"/>
                <w:bCs w:val="false"/>
              </w:rPr>
              <w:t xml:space="preserve">Máximo descuento promo1 observado por producto.</w:t>
            </w:r>
          </w:p>
        </w:tc>
      </w:tr>
      <w:tr>
        <w:tc>
          <w:tcPr>
            <w:tcW w:type="dxa" w:w="2600"/>
            <w:tcMar>
              <w:top w:type="dxa" w:w="80"/>
              <w:left w:type="dxa" w:w="100"/>
              <w:bottom w:type="dxa" w:w="80"/>
              <w:right w:type="dxa" w:w="100"/>
            </w:tcMar>
          </w:tcPr>
          <w:p>
            <w:r>
              <w:rPr>
                <w:b w:val="false"/>
                <w:bCs w:val="false"/>
              </w:rPr>
              <w:t xml:space="preserve">Provincia (Carrefour)</w:t>
            </w:r>
          </w:p>
        </w:tc>
        <w:tc>
          <w:tcPr>
            <w:tcW w:type="dxa" w:w="7500"/>
            <w:tcMar>
              <w:top w:type="dxa" w:w="80"/>
              <w:left w:type="dxa" w:w="100"/>
              <w:bottom w:type="dxa" w:w="80"/>
              <w:right w:type="dxa" w:w="100"/>
            </w:tcMar>
          </w:tcPr>
          <w:p>
            <w:r>
              <w:rPr>
                <w:b w:val="false"/>
                <w:bCs w:val="false"/>
              </w:rPr>
              <w:t xml:space="preserve">Imputación en cascada: localidad exacta → diccionario de ciudades → coordenadas.</w:t>
            </w:r>
          </w:p>
        </w:tc>
      </w:tr>
      <w:tr>
        <w:tc>
          <w:tcPr>
            <w:tcW w:type="dxa" w:w="2600"/>
            <w:tcMar>
              <w:top w:type="dxa" w:w="80"/>
              <w:left w:type="dxa" w:w="100"/>
              <w:bottom w:type="dxa" w:w="80"/>
              <w:right w:type="dxa" w:w="100"/>
            </w:tcMar>
          </w:tcPr>
          <w:p>
            <w:r>
              <w:rPr>
                <w:b w:val="false"/>
                <w:bCs w:val="false"/>
              </w:rPr>
              <w:t xml:space="preserve">Cruce con sucursales</w:t>
            </w:r>
          </w:p>
        </w:tc>
        <w:tc>
          <w:tcPr>
            <w:tcW w:type="dxa" w:w="7500"/>
            <w:tcMar>
              <w:top w:type="dxa" w:w="80"/>
              <w:left w:type="dxa" w:w="100"/>
              <w:bottom w:type="dxa" w:w="80"/>
              <w:right w:type="dxa" w:w="100"/>
            </w:tcMar>
          </w:tcPr>
          <w:p>
            <w:r>
              <w:rPr>
                <w:b w:val="false"/>
                <w:bCs w:val="false"/>
              </w:rPr>
              <w:t xml:space="preserve">id_comercio + id_sucursal.</w:t>
            </w:r>
          </w:p>
        </w:tc>
      </w:tr>
      <w:tr>
        <w:tc>
          <w:tcPr>
            <w:tcW w:type="dxa" w:w="2600"/>
            <w:tcMar>
              <w:top w:type="dxa" w:w="80"/>
              <w:left w:type="dxa" w:w="100"/>
              <w:bottom w:type="dxa" w:w="80"/>
              <w:right w:type="dxa" w:w="100"/>
            </w:tcMar>
          </w:tcPr>
          <w:p>
            <w:r>
              <w:rPr>
                <w:b w:val="false"/>
                <w:bCs w:val="false"/>
              </w:rPr>
              <w:t xml:space="preserve">Interpretación</w:t>
            </w:r>
          </w:p>
        </w:tc>
        <w:tc>
          <w:tcPr>
            <w:tcW w:type="dxa" w:w="7500"/>
            <w:tcMar>
              <w:top w:type="dxa" w:w="80"/>
              <w:left w:type="dxa" w:w="100"/>
              <w:bottom w:type="dxa" w:w="80"/>
              <w:right w:type="dxa" w:w="100"/>
            </w:tcMar>
          </w:tcPr>
          <w:p>
            <w:r>
              <w:rPr>
                <w:b w:val="false"/>
                <w:bCs w:val="false"/>
              </w:rPr>
              <w:t xml:space="preserve">Descriptiva; se evita atribuir causalidad sin evidencia.</w:t>
            </w:r>
          </w:p>
        </w:tc>
      </w:tr>
      <w:tr>
        <w:tc>
          <w:tcPr>
            <w:tcW w:type="dxa" w:w="2600"/>
            <w:tcMar>
              <w:top w:type="dxa" w:w="80"/>
              <w:left w:type="dxa" w:w="100"/>
              <w:bottom w:type="dxa" w:w="80"/>
              <w:right w:type="dxa" w:w="100"/>
            </w:tcMar>
          </w:tcPr>
          <w:p>
            <w:r>
              <w:rPr>
                <w:b w:val="false"/>
                <w:bCs w:val="false"/>
              </w:rPr>
              <w:t xml:space="preserve">Período</w:t>
            </w:r>
          </w:p>
        </w:tc>
        <w:tc>
          <w:tcPr>
            <w:tcW w:type="dxa" w:w="7500"/>
            <w:tcMar>
              <w:top w:type="dxa" w:w="80"/>
              <w:left w:type="dxa" w:w="100"/>
              <w:bottom w:type="dxa" w:w="80"/>
              <w:right w:type="dxa" w:w="100"/>
            </w:tcMar>
          </w:tcPr>
          <w:p>
            <w:r>
              <w:rPr>
                <w:b w:val="false"/>
                <w:bCs w:val="false"/>
              </w:rPr>
              <w:t xml:space="preserve">Julio de 2026.</w:t>
            </w:r>
          </w:p>
        </w:tc>
      </w:tr>
    </w:tbl>
    <w:p>
      <w:pPr>
        <w:spacing w:after="120"/>
      </w:pPr>
      <w:r>
        <w:t xml:space="preserve"/>
      </w:r>
    </w:p>
    <w:p>
      <w:pPr>
        <w:pBdr>
          <w:left w:val="single" w:color="999999" w:sz="12" w:space="8"/>
        </w:pBdr>
        <w:spacing w:after="160" w:before="60"/>
      </w:pPr>
      <w:r>
        <w:rPr>
          <w:i/>
          <w:iCs/>
        </w:rPr>
        <w:t xml:space="preserve">Nota de control: si una metodología cambia en una etapa posterior, conviene actualizar este registro y explicar qué cambió y por qué, en lugar de modificar el criterio silenciosamente.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2026-09-12T20:41:45.689Z</dcterms:created>
  <dcterms:modified xsi:type="dcterms:W3CDTF">2026-09-12T20:41:45.699Z</dcterms:modified>
</cp:coreProperties>
</file>

<file path=docProps/custom.xml><?xml version="1.0" encoding="utf-8"?>
<Properties xmlns="http://schemas.openxmlformats.org/officeDocument/2006/custom-properties" xmlns:vt="http://schemas.openxmlformats.org/officeDocument/2006/docPropsVTypes"/>
</file>