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5847444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46272D" w:rsidRPr="0046272D">
        <w:rPr>
          <w:rFonts w:ascii="Raleway" w:hAnsi="Raleway" w:cs="Arial"/>
          <w:b/>
          <w:sz w:val="52"/>
          <w:szCs w:val="52"/>
        </w:rPr>
        <w:t>ING1909 - Análisis exploratorio de datos - (A57)</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700CD659"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 xml:space="preserve">Reto de aprendizaje </w:t>
      </w:r>
      <w:r w:rsidR="00CB0308">
        <w:rPr>
          <w:rFonts w:ascii="Raleway" w:hAnsi="Raleway" w:cs="Arial"/>
          <w:b/>
          <w:sz w:val="52"/>
          <w:szCs w:val="52"/>
        </w:rPr>
        <w:t>2</w:t>
      </w:r>
      <w:r w:rsidR="009C2D42">
        <w:rPr>
          <w:rFonts w:ascii="Raleway" w:hAnsi="Raleway" w:cs="Arial"/>
          <w:b/>
          <w:sz w:val="52"/>
          <w:szCs w:val="52"/>
        </w:rPr>
        <w:t>.</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2CCB790" w:rsidR="002B7438" w:rsidRPr="00AC18EF" w:rsidRDefault="002B7438" w:rsidP="0046272D">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46272D" w:rsidRPr="0046272D">
        <w:rPr>
          <w:rFonts w:ascii="Raleway" w:hAnsi="Raleway"/>
          <w:b/>
          <w:color w:val="000000" w:themeColor="text1"/>
          <w:sz w:val="40"/>
        </w:rPr>
        <w:t>Rafael Vázquez Pérez</w:t>
      </w:r>
    </w:p>
    <w:p w14:paraId="36EB4A65" w14:textId="4D58454B"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w:t>
      </w:r>
      <w:r w:rsidR="001D0514">
        <w:rPr>
          <w:rFonts w:ascii="Raleway" w:hAnsi="Raleway"/>
          <w:b/>
          <w:color w:val="000000" w:themeColor="text1"/>
          <w:sz w:val="40"/>
        </w:rPr>
        <w:t>8</w:t>
      </w:r>
      <w:r w:rsidR="00A72857">
        <w:rPr>
          <w:rFonts w:ascii="Raleway" w:hAnsi="Raleway"/>
          <w:b/>
          <w:color w:val="000000" w:themeColor="text1"/>
          <w:sz w:val="40"/>
        </w:rPr>
        <w:t xml:space="preserve"> de </w:t>
      </w:r>
      <w:r w:rsidR="0046272D">
        <w:rPr>
          <w:rFonts w:ascii="Raleway" w:hAnsi="Raleway"/>
          <w:b/>
          <w:color w:val="000000" w:themeColor="text1"/>
          <w:sz w:val="40"/>
        </w:rPr>
        <w:t>abril</w:t>
      </w:r>
      <w:r w:rsidR="00A72857">
        <w:rPr>
          <w:rFonts w:ascii="Raleway" w:hAnsi="Raleway"/>
          <w:b/>
          <w:color w:val="000000" w:themeColor="text1"/>
          <w:sz w:val="40"/>
        </w:rPr>
        <w:t xml:space="preserve">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43B5B3EF" w14:textId="77777777" w:rsidR="00A30742" w:rsidRDefault="00A30742" w:rsidP="00A30742">
      <w:pPr>
        <w:rPr>
          <w:rFonts w:asciiTheme="minorHAnsi" w:hAnsiTheme="minorHAnsi" w:cstheme="minorHAnsi"/>
        </w:rPr>
      </w:pPr>
    </w:p>
    <w:p w14:paraId="1ACC596F" w14:textId="53801066" w:rsidR="00A30742" w:rsidRDefault="00A30742" w:rsidP="00A30742">
      <w:pPr>
        <w:ind w:firstLine="360"/>
        <w:rPr>
          <w:rFonts w:asciiTheme="minorHAnsi" w:hAnsiTheme="minorHAnsi" w:cstheme="minorHAnsi"/>
          <w:vertAlign w:val="superscript"/>
        </w:rPr>
      </w:pPr>
      <w:r w:rsidRPr="00A30742">
        <w:rPr>
          <w:rFonts w:asciiTheme="minorHAnsi" w:hAnsiTheme="minorHAnsi" w:cstheme="minorHAnsi"/>
        </w:rPr>
        <w:t>La probabilidad y la estadística son áreas de estudio que han evolucionado a lo largo de la historia. La probabilidad se refiere al grado de certeza de que un evento ocurra o no, mientras que la estadística se encarga de recopilar y analizar datos para generar explicaciones y predicciones. Estas disciplinas se aplican en diversos campos, desde predecir el clima hasta evaluar el comportamiento de inversiones en la bolsa de valores.</w:t>
      </w:r>
      <w:r>
        <w:rPr>
          <w:rFonts w:asciiTheme="minorHAnsi" w:hAnsiTheme="minorHAnsi" w:cstheme="minorHAnsi"/>
        </w:rPr>
        <w:t xml:space="preserve"> </w:t>
      </w:r>
      <w:r w:rsidRPr="00A30742">
        <w:rPr>
          <w:rFonts w:asciiTheme="minorHAnsi" w:hAnsiTheme="minorHAnsi" w:cstheme="minorHAnsi"/>
          <w:vertAlign w:val="superscript"/>
        </w:rPr>
        <w:t>[1]</w:t>
      </w:r>
    </w:p>
    <w:p w14:paraId="30E93DA9" w14:textId="7AAD24D7" w:rsidR="0072068F" w:rsidRDefault="002E6C26" w:rsidP="00A30742">
      <w:pPr>
        <w:ind w:firstLine="360"/>
        <w:rPr>
          <w:rFonts w:asciiTheme="minorHAnsi" w:hAnsiTheme="minorHAnsi" w:cstheme="minorHAnsi"/>
        </w:rPr>
      </w:pPr>
      <w:r w:rsidRPr="002E6C26">
        <w:rPr>
          <w:rFonts w:asciiTheme="minorHAnsi" w:hAnsiTheme="minorHAnsi" w:cstheme="minorHAnsi"/>
        </w:rPr>
        <w:t>Sin embargo, cuando estas herramientas se interpretan incorrectamente o se utilizan de manera inadecuada, pueden llevar a decisiones erróneas con consecuencias negativas</w:t>
      </w:r>
      <w:r>
        <w:rPr>
          <w:rFonts w:asciiTheme="minorHAnsi" w:hAnsiTheme="minorHAnsi" w:cstheme="minorHAnsi"/>
        </w:rPr>
        <w:t>.</w:t>
      </w:r>
    </w:p>
    <w:p w14:paraId="181328F7" w14:textId="77777777" w:rsidR="0072068F" w:rsidRDefault="0072068F" w:rsidP="0072068F">
      <w:pPr>
        <w:spacing w:line="259" w:lineRule="auto"/>
        <w:jc w:val="left"/>
        <w:rPr>
          <w:rFonts w:asciiTheme="minorHAnsi" w:hAnsiTheme="minorHAnsi" w:cstheme="minorHAnsi"/>
        </w:rPr>
      </w:pPr>
    </w:p>
    <w:p w14:paraId="24549412" w14:textId="77777777" w:rsidR="0072068F" w:rsidRPr="00D321DB" w:rsidRDefault="0072068F" w:rsidP="00761C75">
      <w:pPr>
        <w:rPr>
          <w:rFonts w:asciiTheme="minorHAnsi" w:hAnsiTheme="minorHAnsi" w:cstheme="minorHAnsi"/>
          <w:b/>
          <w:bCs/>
        </w:rPr>
      </w:pPr>
      <w:r w:rsidRPr="00D321DB">
        <w:rPr>
          <w:rFonts w:asciiTheme="minorHAnsi" w:hAnsiTheme="minorHAnsi" w:cstheme="minorHAnsi"/>
          <w:b/>
          <w:bCs/>
        </w:rPr>
        <w:t>¿Qué es el VAR y el CVAR?</w:t>
      </w:r>
    </w:p>
    <w:p w14:paraId="5BC13AF2" w14:textId="77777777" w:rsidR="0072068F" w:rsidRPr="0072068F" w:rsidRDefault="0072068F" w:rsidP="00761C75">
      <w:pPr>
        <w:rPr>
          <w:rFonts w:asciiTheme="minorHAnsi" w:hAnsiTheme="minorHAnsi" w:cstheme="minorHAnsi"/>
        </w:rPr>
      </w:pPr>
      <w:r w:rsidRPr="0072068F">
        <w:rPr>
          <w:rFonts w:asciiTheme="minorHAnsi" w:hAnsiTheme="minorHAnsi" w:cstheme="minorHAnsi"/>
        </w:rPr>
        <w:t>El Value At Risk tiene sus orígenes en la crisis financiera de principios de los noventas que envolvió al Condado de Orange, Baring, Metallfesellschaft,Daiwa, entre muchos otros, cuando billones de dólares se perdieron debido a la pobre /ineficiente supervisión / administración de riesgos financieros. Así que se intentó usar el VAR, como sencillo para cuantificar los riesgos del mercado.</w:t>
      </w:r>
    </w:p>
    <w:p w14:paraId="1EFF4FE6" w14:textId="77777777" w:rsidR="0072068F" w:rsidRPr="0072068F" w:rsidRDefault="0072068F" w:rsidP="00761C75">
      <w:pPr>
        <w:rPr>
          <w:rFonts w:asciiTheme="minorHAnsi" w:hAnsiTheme="minorHAnsi" w:cstheme="minorHAnsi"/>
        </w:rPr>
      </w:pPr>
    </w:p>
    <w:p w14:paraId="6E3F17E9" w14:textId="057F43FE" w:rsidR="0072068F" w:rsidRDefault="0072068F" w:rsidP="00761C75">
      <w:pPr>
        <w:rPr>
          <w:rFonts w:asciiTheme="minorHAnsi" w:hAnsiTheme="minorHAnsi" w:cstheme="minorHAnsi"/>
        </w:rPr>
      </w:pPr>
      <w:r w:rsidRPr="0072068F">
        <w:rPr>
          <w:rFonts w:asciiTheme="minorHAnsi" w:hAnsiTheme="minorHAnsi" w:cstheme="minorHAnsi"/>
        </w:rPr>
        <w:t xml:space="preserve">El VAR es un método para cuantificar riesgos, y lo que hace es usar técnicas estadísticas usadas en otros campos. Pretende medir la peor pérdida esperada sobre un horizonte de tiempo, bajo condiciones normales de mercado, y dado un cierto nivel de confianza </w:t>
      </w:r>
      <w:r w:rsidRPr="0072068F">
        <w:rPr>
          <w:rFonts w:asciiTheme="minorHAnsi" w:hAnsiTheme="minorHAnsi" w:cstheme="minorHAnsi"/>
          <w:vertAlign w:val="superscript"/>
        </w:rPr>
        <w:t>[</w:t>
      </w:r>
      <w:r w:rsidRPr="0072068F">
        <w:rPr>
          <w:rFonts w:asciiTheme="minorHAnsi" w:hAnsiTheme="minorHAnsi" w:cstheme="minorHAnsi"/>
          <w:vertAlign w:val="superscript"/>
        </w:rPr>
        <w:t>2</w:t>
      </w:r>
      <w:r w:rsidRPr="0072068F">
        <w:rPr>
          <w:rFonts w:asciiTheme="minorHAnsi" w:hAnsiTheme="minorHAnsi" w:cstheme="minorHAnsi"/>
          <w:vertAlign w:val="superscript"/>
        </w:rPr>
        <w:t>]</w:t>
      </w:r>
      <w:r w:rsidRPr="0072068F">
        <w:rPr>
          <w:rFonts w:asciiTheme="minorHAnsi" w:hAnsiTheme="minorHAnsi" w:cstheme="minorHAnsi"/>
        </w:rPr>
        <w:t>.</w:t>
      </w:r>
    </w:p>
    <w:p w14:paraId="1827073D" w14:textId="471D49AD" w:rsidR="00761C75" w:rsidRDefault="0072068F" w:rsidP="00761C75">
      <w:pPr>
        <w:ind w:firstLine="360"/>
        <w:rPr>
          <w:rFonts w:asciiTheme="minorHAnsi" w:hAnsiTheme="minorHAnsi" w:cstheme="minorHAnsi"/>
        </w:rPr>
      </w:pPr>
      <w:r w:rsidRPr="0072068F">
        <w:rPr>
          <w:rFonts w:asciiTheme="minorHAnsi" w:hAnsiTheme="minorHAnsi" w:cstheme="minorHAnsi"/>
        </w:rPr>
        <w:t xml:space="preserve">Ejemplo, si un banco tiene un portafolio y este tiene un VAR de treintaicinco millones de dólares (35,000,000) con un nivel de confianza de un 0.99 o 99 por ciento, significa </w:t>
      </w:r>
      <w:r w:rsidR="00761C75" w:rsidRPr="0072068F">
        <w:rPr>
          <w:rFonts w:asciiTheme="minorHAnsi" w:hAnsiTheme="minorHAnsi" w:cstheme="minorHAnsi"/>
        </w:rPr>
        <w:t>que,</w:t>
      </w:r>
      <w:r w:rsidRPr="0072068F">
        <w:rPr>
          <w:rFonts w:asciiTheme="minorHAnsi" w:hAnsiTheme="minorHAnsi" w:cstheme="minorHAnsi"/>
        </w:rPr>
        <w:t xml:space="preserve"> bajo condiciones normales de mercado, solo hay un 0.01 o 1 por ciento de probabilidad de que las pérdidas de ese portafolio sean mayores o iguales a los treintaicinco millones de dólares.</w:t>
      </w:r>
    </w:p>
    <w:p w14:paraId="71CFB789" w14:textId="77777777" w:rsidR="007827F8" w:rsidRDefault="007827F8" w:rsidP="007827F8">
      <w:pPr>
        <w:spacing w:line="259" w:lineRule="auto"/>
        <w:jc w:val="left"/>
        <w:rPr>
          <w:rFonts w:asciiTheme="minorHAnsi" w:hAnsiTheme="minorHAnsi" w:cstheme="minorHAnsi"/>
        </w:rPr>
      </w:pPr>
      <w:r>
        <w:rPr>
          <w:rFonts w:asciiTheme="minorHAnsi" w:hAnsiTheme="minorHAnsi" w:cstheme="minorHAnsi"/>
        </w:rPr>
        <w:t>[1]</w:t>
      </w:r>
      <w:r w:rsidRPr="00B77455">
        <w:t xml:space="preserve"> </w:t>
      </w:r>
      <w:r w:rsidRPr="00B77455">
        <w:rPr>
          <w:rFonts w:asciiTheme="minorHAnsi" w:hAnsiTheme="minorHAnsi" w:cstheme="minorHAnsi"/>
        </w:rPr>
        <w:t>(Jorion, 2001, p. X).</w:t>
      </w:r>
    </w:p>
    <w:p w14:paraId="1252F149" w14:textId="12FF3BB7" w:rsidR="0047411F" w:rsidRPr="007827F8" w:rsidRDefault="0047411F" w:rsidP="007827F8">
      <w:pPr>
        <w:spacing w:line="259" w:lineRule="auto"/>
        <w:jc w:val="left"/>
        <w:rPr>
          <w:rFonts w:asciiTheme="minorHAnsi" w:hAnsiTheme="minorHAnsi" w:cstheme="minorHAnsi"/>
        </w:rPr>
      </w:pPr>
      <w:r>
        <w:rPr>
          <w:rFonts w:cs="Arial"/>
          <w:sz w:val="22"/>
        </w:rPr>
        <w:t>[2</w:t>
      </w:r>
      <w:r w:rsidRPr="00761C75">
        <w:rPr>
          <w:rFonts w:asciiTheme="minorHAnsi" w:hAnsiTheme="minorHAnsi" w:cstheme="minorHAnsi"/>
        </w:rPr>
        <w:t>] (Jorion, 2001, p. X).</w:t>
      </w:r>
    </w:p>
    <w:p w14:paraId="1E104910" w14:textId="77777777" w:rsidR="007827F8" w:rsidRDefault="007827F8" w:rsidP="00761C75">
      <w:pPr>
        <w:ind w:firstLine="360"/>
        <w:rPr>
          <w:rFonts w:asciiTheme="minorHAnsi" w:hAnsiTheme="minorHAnsi" w:cstheme="minorHAnsi"/>
        </w:rPr>
      </w:pPr>
    </w:p>
    <w:p w14:paraId="28251259" w14:textId="6008E3FD" w:rsidR="00761C75" w:rsidRDefault="00761C75" w:rsidP="00761C75">
      <w:pPr>
        <w:ind w:firstLine="360"/>
        <w:rPr>
          <w:rFonts w:asciiTheme="minorHAnsi" w:hAnsiTheme="minorHAnsi" w:cstheme="minorHAnsi"/>
        </w:rPr>
      </w:pPr>
      <w:r>
        <w:rPr>
          <w:rFonts w:asciiTheme="minorHAnsi" w:hAnsiTheme="minorHAnsi" w:cstheme="minorHAnsi"/>
        </w:rPr>
        <w:lastRenderedPageBreak/>
        <w:t>Sin embargo, aunque fue considerada una herramienta muy importante para medir el riesgo de la alguna inversión financiera, esta no considera como pueden comportarse las pérdidas abruptas, ni eventos raros como cambios abruptos en las condiciones del mercado.</w:t>
      </w:r>
    </w:p>
    <w:p w14:paraId="5ADE153F" w14:textId="73725513" w:rsidR="00761C75" w:rsidRDefault="00EB44E8" w:rsidP="00761C75">
      <w:pPr>
        <w:ind w:firstLine="360"/>
        <w:rPr>
          <w:rFonts w:asciiTheme="minorHAnsi" w:hAnsiTheme="minorHAnsi" w:cstheme="minorHAnsi"/>
        </w:rPr>
      </w:pPr>
      <w:r>
        <w:rPr>
          <w:rFonts w:asciiTheme="minorHAnsi" w:hAnsiTheme="minorHAnsi" w:cstheme="minorHAnsi"/>
        </w:rPr>
        <w:t>El</w:t>
      </w:r>
      <w:r w:rsidRPr="00EB44E8">
        <w:rPr>
          <w:rFonts w:asciiTheme="minorHAnsi" w:hAnsiTheme="minorHAnsi" w:cstheme="minorHAnsi"/>
        </w:rPr>
        <w:t xml:space="preserve"> CVaR es una alternativa al VaR que considera las pérdidas más allá del nivel de confianza establecido. Al utilizar el CVaR, los inversionistas pueden obtener una visión más </w:t>
      </w:r>
      <w:r w:rsidRPr="00EB44E8">
        <w:rPr>
          <w:rFonts w:asciiTheme="minorHAnsi" w:hAnsiTheme="minorHAnsi" w:cstheme="minorHAnsi"/>
          <w:b/>
          <w:bCs/>
        </w:rPr>
        <w:t>completa</w:t>
      </w:r>
      <w:r w:rsidRPr="00EB44E8">
        <w:rPr>
          <w:rFonts w:asciiTheme="minorHAnsi" w:hAnsiTheme="minorHAnsi" w:cstheme="minorHAnsi"/>
        </w:rPr>
        <w:t xml:space="preserve"> del riesgo y tomar decisiones informadas</w:t>
      </w:r>
      <w:r>
        <w:rPr>
          <w:rFonts w:asciiTheme="minorHAnsi" w:hAnsiTheme="minorHAnsi" w:cstheme="minorHAnsi"/>
        </w:rPr>
        <w:t>.</w:t>
      </w:r>
    </w:p>
    <w:p w14:paraId="3EB47BD7" w14:textId="61095EBC" w:rsidR="00EB44E8" w:rsidRPr="00D321DB" w:rsidRDefault="00EB44E8" w:rsidP="007827F8">
      <w:pPr>
        <w:rPr>
          <w:rFonts w:asciiTheme="minorHAnsi" w:hAnsiTheme="minorHAnsi" w:cstheme="minorHAnsi"/>
          <w:b/>
          <w:bCs/>
          <w:sz w:val="32"/>
          <w:szCs w:val="28"/>
        </w:rPr>
      </w:pPr>
      <w:r w:rsidRPr="00D321DB">
        <w:rPr>
          <w:rFonts w:asciiTheme="minorHAnsi" w:hAnsiTheme="minorHAnsi" w:cstheme="minorHAnsi"/>
          <w:b/>
          <w:bCs/>
          <w:sz w:val="32"/>
          <w:szCs w:val="28"/>
        </w:rPr>
        <w:t>Errores más comunes al usar la probabilidad</w:t>
      </w:r>
    </w:p>
    <w:p w14:paraId="4FCB87C9" w14:textId="450F2097" w:rsidR="00EB44E8" w:rsidRPr="00D321DB" w:rsidRDefault="00EB44E8" w:rsidP="007827F8">
      <w:pPr>
        <w:rPr>
          <w:rFonts w:asciiTheme="minorHAnsi" w:hAnsiTheme="minorHAnsi" w:cstheme="minorHAnsi"/>
          <w:b/>
          <w:bCs/>
          <w:sz w:val="28"/>
          <w:szCs w:val="24"/>
        </w:rPr>
      </w:pPr>
      <w:r w:rsidRPr="00D321DB">
        <w:rPr>
          <w:rFonts w:asciiTheme="minorHAnsi" w:hAnsiTheme="minorHAnsi" w:cstheme="minorHAnsi"/>
          <w:b/>
          <w:bCs/>
          <w:sz w:val="28"/>
          <w:szCs w:val="24"/>
        </w:rPr>
        <w:t>Eventos dependientes e independientes</w:t>
      </w:r>
    </w:p>
    <w:p w14:paraId="72B0A3CC" w14:textId="57A09651" w:rsidR="009D5D00" w:rsidRDefault="009D5D00" w:rsidP="009D5D00">
      <w:pPr>
        <w:ind w:firstLine="360"/>
        <w:rPr>
          <w:rFonts w:asciiTheme="minorHAnsi" w:hAnsiTheme="minorHAnsi" w:cstheme="minorHAnsi"/>
        </w:rPr>
      </w:pPr>
      <w:r>
        <w:rPr>
          <w:rFonts w:asciiTheme="minorHAnsi" w:hAnsiTheme="minorHAnsi" w:cstheme="minorHAnsi"/>
        </w:rPr>
        <w:t>La dependencia e independencia de productos son conceptos muy importantes en el campo de la probabilidad. Dos eventos son independientes cuando la ocurrencia de un evento no influye en la ocurrencia del otro. Para poder definir matemáticamente la dependencia de eventos, antes debemos definir lo que es la probabilidad condicional.</w:t>
      </w:r>
    </w:p>
    <w:p w14:paraId="70869A9C" w14:textId="46CF5219" w:rsidR="009D5D00" w:rsidRDefault="009D5D00" w:rsidP="009D5D00">
      <w:pPr>
        <w:ind w:firstLine="360"/>
        <w:rPr>
          <w:rFonts w:asciiTheme="minorHAnsi" w:hAnsiTheme="minorHAnsi" w:cstheme="minorHAnsi"/>
        </w:rPr>
      </w:pPr>
      <w:r>
        <w:rPr>
          <w:rFonts w:asciiTheme="minorHAnsi" w:hAnsiTheme="minorHAnsi" w:cstheme="minorHAnsi"/>
        </w:rPr>
        <w:t>La probabilidad condicional, como su nombre lo indica, es la probabilidad de ocurrencia de un evento condicionado a que ya haya ocurrido otro, y lo denotamos de la siguiente forma:</w:t>
      </w:r>
    </w:p>
    <w:p w14:paraId="5B2CA356" w14:textId="670C99DF" w:rsidR="009D5D00" w:rsidRPr="006A6B6C" w:rsidRDefault="009D5D00" w:rsidP="009D5D00">
      <w:pPr>
        <w:ind w:firstLine="360"/>
        <w:jc w:val="center"/>
        <w:rPr>
          <w:rFonts w:asciiTheme="minorHAnsi" w:eastAsiaTheme="minorEastAsia" w:hAnsiTheme="minorHAnsi" w:cstheme="minorHAnsi"/>
        </w:rPr>
      </w:pPr>
      <m:oMathPara>
        <m:oMath>
          <m:r>
            <m:rPr>
              <m:scr m:val="double-struck"/>
            </m:rPr>
            <w:rPr>
              <w:rFonts w:ascii="Cambria Math" w:eastAsiaTheme="minorEastAsia" w:hAnsi="Cambria Math" w:cstheme="minorHAnsi"/>
            </w:rPr>
            <m:t>P</m:t>
          </m:r>
          <m:d>
            <m:dPr>
              <m:ctrlPr>
                <w:rPr>
                  <w:rFonts w:ascii="Cambria Math" w:eastAsiaTheme="minorEastAsia" w:hAnsi="Cambria Math" w:cstheme="minorHAnsi"/>
                </w:rPr>
              </m:ctrlPr>
            </m:dPr>
            <m:e>
              <m:r>
                <m:rPr>
                  <m:sty m:val="p"/>
                </m:rPr>
                <w:rPr>
                  <w:rFonts w:ascii="Cambria Math" w:eastAsiaTheme="minorEastAsia" w:hAnsi="Cambria Math" w:cstheme="minorHAnsi"/>
                </w:rPr>
                <m:t>A</m:t>
              </m:r>
            </m:e>
            <m:e>
              <m:r>
                <m:rPr>
                  <m:sty m:val="p"/>
                </m:rPr>
                <w:rPr>
                  <w:rFonts w:ascii="Cambria Math" w:eastAsiaTheme="minorEastAsia" w:hAnsi="Cambria Math" w:cstheme="minorHAnsi"/>
                </w:rPr>
                <m:t>B</m:t>
              </m:r>
            </m:e>
          </m:d>
          <m:r>
            <w:rPr>
              <w:rFonts w:ascii="Cambria Math" w:eastAsiaTheme="minorEastAsia" w:hAnsi="Cambria Math" w:cstheme="minorHAnsi"/>
            </w:rPr>
            <m:t xml:space="preserve">= </m:t>
          </m:r>
          <m:f>
            <m:fPr>
              <m:ctrlPr>
                <w:rPr>
                  <w:rFonts w:ascii="Cambria Math" w:eastAsiaTheme="minorEastAsia" w:hAnsi="Cambria Math" w:cstheme="minorHAnsi"/>
                  <w:i/>
                </w:rPr>
              </m:ctrlPr>
            </m:fPr>
            <m:num>
              <m:r>
                <m:rPr>
                  <m:scr m:val="double-struck"/>
                </m:rPr>
                <w:rPr>
                  <w:rFonts w:ascii="Cambria Math" w:eastAsiaTheme="minorEastAsia" w:hAnsi="Cambria Math" w:cstheme="minorHAnsi"/>
                </w:rPr>
                <m:t>P</m:t>
              </m:r>
              <m:r>
                <w:rPr>
                  <w:rFonts w:ascii="Cambria Math" w:eastAsiaTheme="minorEastAsia" w:hAnsi="Cambria Math" w:cstheme="minorHAnsi"/>
                </w:rPr>
                <m:t>(A</m:t>
              </m:r>
              <m:r>
                <w:rPr>
                  <w:rFonts w:ascii="Cambria Math" w:eastAsiaTheme="minorEastAsia" w:hAnsi="Cambria Math" w:cstheme="minorHAnsi"/>
                </w:rPr>
                <m:t>∩</m:t>
              </m:r>
              <m:r>
                <w:rPr>
                  <w:rFonts w:ascii="Cambria Math" w:eastAsiaTheme="minorEastAsia" w:hAnsi="Cambria Math" w:cstheme="minorHAnsi"/>
                </w:rPr>
                <m:t>B)</m:t>
              </m:r>
            </m:num>
            <m:den>
              <m:r>
                <m:rPr>
                  <m:scr m:val="double-struck"/>
                </m:rPr>
                <w:rPr>
                  <w:rFonts w:ascii="Cambria Math" w:eastAsiaTheme="minorEastAsia" w:hAnsi="Cambria Math" w:cstheme="minorHAnsi"/>
                </w:rPr>
                <m:t>P</m:t>
              </m:r>
              <m:r>
                <w:rPr>
                  <w:rFonts w:ascii="Cambria Math" w:eastAsiaTheme="minorEastAsia" w:hAnsi="Cambria Math" w:cstheme="minorHAnsi"/>
                </w:rPr>
                <m:t>(B)</m:t>
              </m:r>
            </m:den>
          </m:f>
        </m:oMath>
      </m:oMathPara>
    </w:p>
    <w:p w14:paraId="6FF67C3D" w14:textId="13A80342" w:rsidR="006A6B6C" w:rsidRDefault="006A6B6C" w:rsidP="006A6B6C">
      <w:pPr>
        <w:ind w:firstLine="360"/>
        <w:rPr>
          <w:rFonts w:asciiTheme="minorHAnsi" w:eastAsiaTheme="minorEastAsia" w:hAnsiTheme="minorHAnsi" w:cstheme="minorHAnsi"/>
        </w:rPr>
      </w:pPr>
      <w:r>
        <w:rPr>
          <w:rFonts w:asciiTheme="minorHAnsi" w:eastAsiaTheme="minorEastAsia" w:hAnsiTheme="minorHAnsi" w:cstheme="minorHAnsi"/>
        </w:rPr>
        <w:t>Dos eventos son independientes entre si cuando la ocurrencia de uno no influye en la ocurrencia del otro. Matemáticamente podemos definirlo de la siguiente forma.</w:t>
      </w:r>
    </w:p>
    <w:p w14:paraId="579EAB03" w14:textId="77777777" w:rsidR="008E5062" w:rsidRDefault="008E5062" w:rsidP="006A6B6C">
      <w:pPr>
        <w:ind w:firstLine="360"/>
        <w:rPr>
          <w:rFonts w:asciiTheme="minorHAnsi" w:eastAsiaTheme="minorEastAsia" w:hAnsiTheme="minorHAnsi" w:cstheme="minorHAnsi"/>
        </w:rPr>
      </w:pPr>
    </w:p>
    <w:p w14:paraId="0206D384" w14:textId="4307228D" w:rsidR="006A6B6C" w:rsidRPr="009D5D00" w:rsidRDefault="008E5062" w:rsidP="008E5062">
      <w:pPr>
        <w:ind w:firstLine="360"/>
        <w:jc w:val="center"/>
        <w:rPr>
          <w:rFonts w:asciiTheme="minorHAnsi" w:eastAsiaTheme="minorEastAsia" w:hAnsiTheme="minorHAnsi" w:cstheme="minorHAnsi"/>
        </w:rPr>
      </w:pPr>
      <w:r>
        <w:rPr>
          <w:rFonts w:asciiTheme="minorHAnsi" w:eastAsiaTheme="minorEastAsia" w:hAnsiTheme="minorHAnsi" w:cstheme="minorHAnsi"/>
        </w:rPr>
        <w:t xml:space="preserve">A es independiente de B si y solo si </w:t>
      </w:r>
      <w:r w:rsidRPr="008E5062">
        <w:rPr>
          <w:rFonts w:ascii="Cambria Math" w:eastAsiaTheme="minorEastAsia" w:hAnsi="Cambria Math" w:cstheme="minorHAnsi"/>
          <w:i/>
        </w:rPr>
        <w:br/>
      </w:r>
      <m:oMathPara>
        <m:oMath>
          <m:r>
            <m:rPr>
              <m:scr m:val="double-struck"/>
            </m:rPr>
            <w:rPr>
              <w:rFonts w:ascii="Cambria Math" w:eastAsiaTheme="minorEastAsia" w:hAnsi="Cambria Math" w:cstheme="minorHAnsi"/>
            </w:rPr>
            <m:t>P</m:t>
          </m:r>
          <m:d>
            <m:dPr>
              <m:ctrlPr>
                <w:rPr>
                  <w:rFonts w:ascii="Cambria Math" w:eastAsiaTheme="minorEastAsia" w:hAnsi="Cambria Math" w:cstheme="minorHAnsi"/>
                </w:rPr>
              </m:ctrlPr>
            </m:dPr>
            <m:e>
              <m:r>
                <m:rPr>
                  <m:sty m:val="p"/>
                </m:rPr>
                <w:rPr>
                  <w:rFonts w:ascii="Cambria Math" w:eastAsiaTheme="minorEastAsia" w:hAnsi="Cambria Math" w:cstheme="minorHAnsi"/>
                </w:rPr>
                <m:t>A</m:t>
              </m:r>
            </m:e>
            <m:e>
              <m:r>
                <m:rPr>
                  <m:sty m:val="p"/>
                </m:rPr>
                <w:rPr>
                  <w:rFonts w:ascii="Cambria Math" w:eastAsiaTheme="minorEastAsia" w:hAnsi="Cambria Math" w:cstheme="minorHAnsi"/>
                </w:rPr>
                <m:t>B</m:t>
              </m:r>
            </m:e>
          </m:d>
          <m:r>
            <w:rPr>
              <w:rFonts w:ascii="Cambria Math" w:eastAsiaTheme="minorEastAsia" w:hAnsi="Cambria Math" w:cstheme="minorHAnsi"/>
            </w:rPr>
            <m:t xml:space="preserve">= </m:t>
          </m:r>
          <m:f>
            <m:fPr>
              <m:ctrlPr>
                <w:rPr>
                  <w:rFonts w:ascii="Cambria Math" w:eastAsiaTheme="minorEastAsia" w:hAnsi="Cambria Math" w:cstheme="minorHAnsi"/>
                  <w:i/>
                </w:rPr>
              </m:ctrlPr>
            </m:fPr>
            <m:num>
              <m:r>
                <m:rPr>
                  <m:scr m:val="double-struck"/>
                </m:rPr>
                <w:rPr>
                  <w:rFonts w:ascii="Cambria Math" w:eastAsiaTheme="minorEastAsia" w:hAnsi="Cambria Math" w:cstheme="minorHAnsi"/>
                </w:rPr>
                <m:t>P(</m:t>
              </m:r>
              <m:r>
                <w:rPr>
                  <w:rFonts w:ascii="Cambria Math" w:eastAsiaTheme="minorEastAsia" w:hAnsi="Cambria Math" w:cstheme="minorHAnsi"/>
                </w:rPr>
                <m:t>A∩B)</m:t>
              </m:r>
            </m:num>
            <m:den>
              <m:r>
                <m:rPr>
                  <m:scr m:val="double-struck"/>
                </m:rPr>
                <w:rPr>
                  <w:rFonts w:ascii="Cambria Math" w:eastAsiaTheme="minorEastAsia" w:hAnsi="Cambria Math" w:cstheme="minorHAnsi"/>
                </w:rPr>
                <m:t>P(</m:t>
              </m:r>
              <m:r>
                <w:rPr>
                  <w:rFonts w:ascii="Cambria Math" w:eastAsiaTheme="minorEastAsia" w:hAnsi="Cambria Math" w:cstheme="minorHAnsi"/>
                </w:rPr>
                <m:t>B)</m:t>
              </m:r>
            </m:den>
          </m:f>
          <m:r>
            <w:rPr>
              <w:rFonts w:ascii="Cambria Math" w:eastAsiaTheme="minorEastAsia" w:hAnsi="Cambria Math" w:cstheme="minorHAnsi"/>
            </w:rPr>
            <m:t xml:space="preserve">= </m:t>
          </m:r>
          <m:r>
            <m:rPr>
              <m:scr m:val="double-struck"/>
            </m:rPr>
            <w:rPr>
              <w:rFonts w:ascii="Cambria Math" w:eastAsiaTheme="minorEastAsia" w:hAnsi="Cambria Math" w:cstheme="minorHAnsi"/>
            </w:rPr>
            <m:t>P</m:t>
          </m:r>
          <m:r>
            <w:rPr>
              <w:rFonts w:ascii="Cambria Math" w:eastAsiaTheme="minorEastAsia" w:hAnsi="Cambria Math" w:cstheme="minorHAnsi"/>
            </w:rPr>
            <m:t>(A)</m:t>
          </m:r>
        </m:oMath>
      </m:oMathPara>
    </w:p>
    <w:p w14:paraId="3D4C8714" w14:textId="2B684BB2" w:rsidR="009D5D00" w:rsidRPr="008E5062" w:rsidRDefault="009D5D00" w:rsidP="009D5D00">
      <w:pPr>
        <w:ind w:firstLine="360"/>
        <w:jc w:val="center"/>
        <w:rPr>
          <w:rFonts w:asciiTheme="minorHAnsi" w:eastAsiaTheme="minorEastAsia" w:hAnsiTheme="minorHAnsi" w:cstheme="minorHAnsi"/>
        </w:rPr>
      </w:pPr>
      <m:oMathPara>
        <m:oMath>
          <m:r>
            <w:rPr>
              <w:rFonts w:ascii="Cambria Math" w:hAnsi="Cambria Math" w:cstheme="minorHAnsi"/>
            </w:rPr>
            <m:t xml:space="preserve"> </m:t>
          </m:r>
        </m:oMath>
      </m:oMathPara>
    </w:p>
    <w:p w14:paraId="0430CA79" w14:textId="450D70A5" w:rsidR="008E5062" w:rsidRDefault="008E5062" w:rsidP="008E5062">
      <w:pPr>
        <w:ind w:firstLine="360"/>
        <w:rPr>
          <w:rFonts w:asciiTheme="minorHAnsi" w:hAnsiTheme="minorHAnsi" w:cstheme="minorHAnsi"/>
        </w:rPr>
      </w:pPr>
      <w:r w:rsidRPr="008E5062">
        <w:rPr>
          <w:rFonts w:asciiTheme="minorHAnsi" w:hAnsiTheme="minorHAnsi" w:cstheme="minorHAnsi"/>
        </w:rPr>
        <w:t>No reconocer la diferencia entre sucesos dependientes e independientes puede llevar a malas estimaciones de probabilidad y, por lo tanto, a decisiones erróneas.</w:t>
      </w:r>
      <w:r>
        <w:rPr>
          <w:rFonts w:asciiTheme="minorHAnsi" w:hAnsiTheme="minorHAnsi" w:cstheme="minorHAnsi"/>
        </w:rPr>
        <w:t xml:space="preserve"> </w:t>
      </w:r>
    </w:p>
    <w:p w14:paraId="4EAEFE11" w14:textId="466BF6ED" w:rsidR="00864F66" w:rsidRDefault="00864F66" w:rsidP="008E5062">
      <w:pPr>
        <w:ind w:firstLine="360"/>
        <w:rPr>
          <w:rFonts w:asciiTheme="minorHAnsi" w:hAnsiTheme="minorHAnsi" w:cstheme="minorHAnsi"/>
        </w:rPr>
      </w:pPr>
      <w:r>
        <w:rPr>
          <w:rFonts w:asciiTheme="minorHAnsi" w:hAnsiTheme="minorHAnsi" w:cstheme="minorHAnsi"/>
        </w:rPr>
        <w:lastRenderedPageBreak/>
        <w:t xml:space="preserve">Un ejemplo muy común es el de lanzar una moneda repetidas veces. Suponiendo que la moneda es justa, cada cara tiene 50% de probabilidades de salir, independientemente del número de intentos. </w:t>
      </w:r>
    </w:p>
    <w:p w14:paraId="31EA43C2" w14:textId="35C1EB10" w:rsidR="00864F66" w:rsidRDefault="00864F66" w:rsidP="008E5062">
      <w:pPr>
        <w:ind w:firstLine="360"/>
        <w:rPr>
          <w:rFonts w:asciiTheme="minorHAnsi" w:hAnsiTheme="minorHAnsi" w:cstheme="minorHAnsi"/>
        </w:rPr>
      </w:pPr>
      <w:r>
        <w:rPr>
          <w:rFonts w:asciiTheme="minorHAnsi" w:hAnsiTheme="minorHAnsi" w:cstheme="minorHAnsi"/>
        </w:rPr>
        <w:t>Para ejemplificar un evento dependiente, supongamos que tenemos una bolsa con digamos diez canicas de dos colores, una azul y nueve rojas. Hacemos el experimento de sacar dos canicas sin reemplazo (No se vuelven a colocar en la bolsa), en el primer intento se tiene una probabilidad de 10% de sacar la bola azul, mientras que hay una probabilidad de 90% de sacar una bola roja, sin embargo, la probabilidad cambia para la segunda bola, pues depende de que canicas queden en la bolsa.</w:t>
      </w:r>
    </w:p>
    <w:p w14:paraId="1BFDBEF8" w14:textId="14F8CD90" w:rsidR="00506E5E" w:rsidRDefault="00506E5E" w:rsidP="008E5062">
      <w:pPr>
        <w:ind w:firstLine="360"/>
        <w:rPr>
          <w:rFonts w:asciiTheme="minorHAnsi" w:hAnsiTheme="minorHAnsi" w:cstheme="minorHAnsi"/>
        </w:rPr>
      </w:pPr>
      <w:r>
        <w:rPr>
          <w:rFonts w:asciiTheme="minorHAnsi" w:hAnsiTheme="minorHAnsi" w:cstheme="minorHAnsi"/>
        </w:rPr>
        <w:t xml:space="preserve">Una consecuencia de no distinguir cuando se tiene usa serie de ventos aleatorios independientes puede ser el caer en la falacia del apostador, también conocida como falacia Montecarlo. Esta es cuando se tiene la creencia o idea errónea de que los sucesos pasados pueden afectar a los futuros. Por ejemplo, cuando se lanza una moneda repetidas veces y se obtiene una racha digamos de que haya salido cara. Algunas personas pueden llegar a creer que, en este caso, la probabilidad de obtener cara en el próximo tiro debe ser baja, pues el haber tenido la racha anterior era improbable, pero dado que en realidad cada tiro es independiente, por lo cual, la probabilidad de que el tiro de la moneda salga cara, sigue siendo de un medio. </w:t>
      </w:r>
    </w:p>
    <w:p w14:paraId="27705055" w14:textId="3C555EAD" w:rsidR="00506E5E" w:rsidRDefault="00506E5E" w:rsidP="008E5062">
      <w:pPr>
        <w:ind w:firstLine="360"/>
        <w:rPr>
          <w:rFonts w:asciiTheme="minorHAnsi" w:hAnsiTheme="minorHAnsi" w:cstheme="minorHAnsi"/>
        </w:rPr>
      </w:pPr>
      <w:r>
        <w:rPr>
          <w:rFonts w:asciiTheme="minorHAnsi" w:hAnsiTheme="minorHAnsi" w:cstheme="minorHAnsi"/>
        </w:rPr>
        <w:t>Otra forma de ver esta falacia, es creer que un suceso aleatorio tiene menos probabilidad de ocurrir porque ya ha ocurrido durante cierto periodo de tiempo o cierto número de intento. U otra forma de caer en esta falacia, es cuando tiene la falsa creencia de que un evento aleatorio tiene más probabilidades de ocurrencia cuando no ha ocurrido recientemente.</w:t>
      </w:r>
    </w:p>
    <w:p w14:paraId="40DD0FCF" w14:textId="263C82B7" w:rsidR="00506E5E" w:rsidRDefault="00506E5E" w:rsidP="008E5062">
      <w:pPr>
        <w:ind w:firstLine="360"/>
        <w:rPr>
          <w:rFonts w:asciiTheme="minorHAnsi" w:hAnsiTheme="minorHAnsi" w:cstheme="minorHAnsi"/>
        </w:rPr>
      </w:pPr>
      <w:r w:rsidRPr="00506E5E">
        <w:rPr>
          <w:rFonts w:asciiTheme="minorHAnsi" w:hAnsiTheme="minorHAnsi" w:cstheme="minorHAnsi"/>
        </w:rPr>
        <w:t>En resumen, la falacia del apostador lleva a creencias erróneas sobre cómo los sucesos pasados afectan a los futuros en actividades aleatorias</w:t>
      </w:r>
      <w:r>
        <w:rPr>
          <w:rFonts w:asciiTheme="minorHAnsi" w:hAnsiTheme="minorHAnsi" w:cstheme="minorHAnsi"/>
        </w:rPr>
        <w:t xml:space="preserve"> independientes.</w:t>
      </w:r>
    </w:p>
    <w:p w14:paraId="11CF7DC2" w14:textId="77777777" w:rsidR="00B53F20" w:rsidRDefault="00B53F20" w:rsidP="008E5062">
      <w:pPr>
        <w:ind w:firstLine="360"/>
        <w:rPr>
          <w:rFonts w:asciiTheme="minorHAnsi" w:hAnsiTheme="minorHAnsi" w:cstheme="minorHAnsi"/>
        </w:rPr>
      </w:pPr>
    </w:p>
    <w:p w14:paraId="1A441E86" w14:textId="58F61B8D" w:rsidR="00B53F20" w:rsidRDefault="00B53F20" w:rsidP="008E5062">
      <w:pPr>
        <w:ind w:firstLine="360"/>
        <w:rPr>
          <w:rFonts w:asciiTheme="minorHAnsi" w:hAnsiTheme="minorHAnsi" w:cstheme="minorHAnsi"/>
        </w:rPr>
      </w:pPr>
      <w:r>
        <w:rPr>
          <w:rFonts w:asciiTheme="minorHAnsi" w:hAnsiTheme="minorHAnsi" w:cstheme="minorHAnsi"/>
        </w:rPr>
        <w:t xml:space="preserve">Otro error común </w:t>
      </w:r>
      <w:r w:rsidR="00A16063">
        <w:rPr>
          <w:rFonts w:asciiTheme="minorHAnsi" w:hAnsiTheme="minorHAnsi" w:cstheme="minorHAnsi"/>
        </w:rPr>
        <w:t xml:space="preserve">en el razonamiento estadístico </w:t>
      </w:r>
      <w:r>
        <w:rPr>
          <w:rFonts w:asciiTheme="minorHAnsi" w:hAnsiTheme="minorHAnsi" w:cstheme="minorHAnsi"/>
        </w:rPr>
        <w:t>es el caer en la falacia del fiscal. Este es un error de razonamiento que se produce al usar la probabilidad condicional de forma malintencionada para influir en la toma de decisiones.</w:t>
      </w:r>
    </w:p>
    <w:p w14:paraId="431DDEB8" w14:textId="58BEA8E5" w:rsidR="00B53F20" w:rsidRDefault="00B53F20" w:rsidP="008E5062">
      <w:pPr>
        <w:ind w:firstLine="360"/>
        <w:rPr>
          <w:rFonts w:asciiTheme="minorHAnsi" w:hAnsiTheme="minorHAnsi" w:cstheme="minorHAnsi"/>
        </w:rPr>
      </w:pPr>
      <w:r>
        <w:rPr>
          <w:rFonts w:asciiTheme="minorHAnsi" w:hAnsiTheme="minorHAnsi" w:cstheme="minorHAnsi"/>
        </w:rPr>
        <w:lastRenderedPageBreak/>
        <w:t>Para ilustrar esta falacia usaremos el siguiente ejemplo:</w:t>
      </w:r>
    </w:p>
    <w:p w14:paraId="26D5FB9F" w14:textId="5C929561" w:rsidR="00B53F20" w:rsidRDefault="00B53F20" w:rsidP="008E5062">
      <w:pPr>
        <w:ind w:firstLine="360"/>
        <w:rPr>
          <w:rFonts w:asciiTheme="minorHAnsi" w:hAnsiTheme="minorHAnsi" w:cstheme="minorHAnsi"/>
        </w:rPr>
      </w:pPr>
      <w:r>
        <w:rPr>
          <w:rFonts w:asciiTheme="minorHAnsi" w:hAnsiTheme="minorHAnsi" w:cstheme="minorHAnsi"/>
        </w:rPr>
        <w:t xml:space="preserve">Supongamos que se cometió un crimen, y en la escena del crimen se encontró una muestra de sangre, digamos que esta muestra tiene una cierta particularidad que solo se encuentra en la sangre de una de cada mil personas. Una persona con un historial de cargos es encontrado cerca de la escena del crimen y su sangre presenta esta misma particularidad. Un fiscal durante el juicio afirma lo siguiente: La probabilidad de que la sangre de un inocente presenta la particularidad de la sangre encontrada en la escena es de 0.001, pero la sangre del acusado la presenta, por lo </w:t>
      </w:r>
      <w:r w:rsidR="00A16063">
        <w:rPr>
          <w:rFonts w:asciiTheme="minorHAnsi" w:hAnsiTheme="minorHAnsi" w:cstheme="minorHAnsi"/>
        </w:rPr>
        <w:t>tanto,</w:t>
      </w:r>
      <w:r>
        <w:rPr>
          <w:rFonts w:asciiTheme="minorHAnsi" w:hAnsiTheme="minorHAnsi" w:cstheme="minorHAnsi"/>
        </w:rPr>
        <w:t xml:space="preserve"> la probabilidad de que este sea culpable es del 0.999.</w:t>
      </w:r>
    </w:p>
    <w:p w14:paraId="449053D8" w14:textId="77777777" w:rsidR="00A16063" w:rsidRDefault="00B53F20" w:rsidP="008E5062">
      <w:pPr>
        <w:ind w:firstLine="360"/>
        <w:rPr>
          <w:rFonts w:asciiTheme="minorHAnsi" w:hAnsiTheme="minorHAnsi" w:cstheme="minorHAnsi"/>
        </w:rPr>
      </w:pPr>
      <w:r>
        <w:rPr>
          <w:rFonts w:asciiTheme="minorHAnsi" w:hAnsiTheme="minorHAnsi" w:cstheme="minorHAnsi"/>
        </w:rPr>
        <w:t xml:space="preserve">Esta afirmación es incorrecta y puede llevar a culpar a alguien de un crimen que no cometió, en realidad </w:t>
      </w:r>
      <w:r w:rsidR="00A16063">
        <w:rPr>
          <w:rFonts w:asciiTheme="minorHAnsi" w:hAnsiTheme="minorHAnsi" w:cstheme="minorHAnsi"/>
        </w:rPr>
        <w:t>la probabilidad de que una persona cuya sangre presente esta particularidad sea culpable depende del tamaño de la población.</w:t>
      </w:r>
    </w:p>
    <w:p w14:paraId="46070C27" w14:textId="16EFCBEF" w:rsidR="00B53F20" w:rsidRDefault="00A16063" w:rsidP="008E5062">
      <w:pPr>
        <w:ind w:firstLine="360"/>
        <w:rPr>
          <w:rFonts w:asciiTheme="minorHAnsi" w:hAnsiTheme="minorHAnsi" w:cstheme="minorHAnsi"/>
        </w:rPr>
      </w:pPr>
      <w:r>
        <w:rPr>
          <w:rFonts w:asciiTheme="minorHAnsi" w:hAnsiTheme="minorHAnsi" w:cstheme="minorHAnsi"/>
        </w:rPr>
        <w:t>Supongamos que se tiene una población con 100,000 habitantes. De esta, aproximadamente 1000 habitantes presentarán esta particularidad en su sangre. Si el culpable del crimen se encuentra en esta población y tomamos a alguien cuya sangre presente la particularidad, de forma aleatoria, en realidad la probabilidad de que esta sea la culpable es de 0.001.</w:t>
      </w:r>
    </w:p>
    <w:p w14:paraId="34B09882" w14:textId="09EED97C" w:rsidR="00A16063" w:rsidRDefault="00A16063" w:rsidP="008E5062">
      <w:pPr>
        <w:ind w:firstLine="360"/>
        <w:rPr>
          <w:rFonts w:asciiTheme="minorHAnsi" w:hAnsiTheme="minorHAnsi" w:cstheme="minorHAnsi"/>
        </w:rPr>
      </w:pPr>
      <w:r>
        <w:rPr>
          <w:rFonts w:asciiTheme="minorHAnsi" w:hAnsiTheme="minorHAnsi" w:cstheme="minorHAnsi"/>
        </w:rPr>
        <w:t xml:space="preserve">Esta falacia también puede ocurrir en otros contextos como el marketing, como cuando una empresa utiliza la popularidad con cierto grupo para afirmar algo sobre sus productos sin tomar en cuenta </w:t>
      </w:r>
      <w:r w:rsidR="00851F24">
        <w:rPr>
          <w:rFonts w:asciiTheme="minorHAnsi" w:hAnsiTheme="minorHAnsi" w:cstheme="minorHAnsi"/>
        </w:rPr>
        <w:t>otros aspectos del producto.</w:t>
      </w:r>
    </w:p>
    <w:p w14:paraId="21EBC660" w14:textId="78C6C60E" w:rsidR="00851F24" w:rsidRPr="00D321DB" w:rsidRDefault="00851F24" w:rsidP="007827F8">
      <w:pPr>
        <w:rPr>
          <w:rFonts w:asciiTheme="minorHAnsi" w:hAnsiTheme="minorHAnsi" w:cstheme="minorHAnsi"/>
          <w:b/>
          <w:bCs/>
          <w:sz w:val="28"/>
          <w:szCs w:val="24"/>
        </w:rPr>
      </w:pPr>
      <w:r w:rsidRPr="00D321DB">
        <w:rPr>
          <w:rFonts w:asciiTheme="minorHAnsi" w:hAnsiTheme="minorHAnsi" w:cstheme="minorHAnsi"/>
          <w:b/>
          <w:bCs/>
          <w:sz w:val="28"/>
          <w:szCs w:val="24"/>
        </w:rPr>
        <w:t>Regresión a la media</w:t>
      </w:r>
    </w:p>
    <w:p w14:paraId="7C164D37" w14:textId="0287528D" w:rsidR="00851F24" w:rsidRDefault="00851F24" w:rsidP="008E5062">
      <w:pPr>
        <w:ind w:firstLine="360"/>
        <w:rPr>
          <w:rFonts w:asciiTheme="minorHAnsi" w:hAnsiTheme="minorHAnsi" w:cstheme="minorHAnsi"/>
        </w:rPr>
      </w:pPr>
      <w:r>
        <w:rPr>
          <w:rFonts w:asciiTheme="minorHAnsi" w:hAnsiTheme="minorHAnsi" w:cstheme="minorHAnsi"/>
        </w:rPr>
        <w:t>La regresión a la media es el fenómeno estadístico que describe como las mediciones extremas o inusuales tienden a acercarse más a la media (promedio) en mediciones posteriores.</w:t>
      </w:r>
    </w:p>
    <w:p w14:paraId="0DB5EA93" w14:textId="6B1B8FDC" w:rsidR="00851F24" w:rsidRDefault="00851F24" w:rsidP="008E5062">
      <w:pPr>
        <w:ind w:firstLine="360"/>
        <w:rPr>
          <w:rFonts w:asciiTheme="minorHAnsi" w:hAnsiTheme="minorHAnsi" w:cstheme="minorHAnsi"/>
        </w:rPr>
      </w:pPr>
      <w:r>
        <w:rPr>
          <w:rFonts w:asciiTheme="minorHAnsi" w:hAnsiTheme="minorHAnsi" w:cstheme="minorHAnsi"/>
        </w:rPr>
        <w:t>Un ejemplo sencillo de esto es el siguiente:</w:t>
      </w:r>
    </w:p>
    <w:p w14:paraId="66E8CE99" w14:textId="296FBF1C" w:rsidR="00631A39" w:rsidRDefault="00851F24" w:rsidP="00631A39">
      <w:pPr>
        <w:ind w:firstLine="360"/>
        <w:rPr>
          <w:rFonts w:asciiTheme="minorHAnsi" w:hAnsiTheme="minorHAnsi" w:cstheme="minorHAnsi"/>
        </w:rPr>
      </w:pPr>
      <w:r>
        <w:rPr>
          <w:rFonts w:asciiTheme="minorHAnsi" w:hAnsiTheme="minorHAnsi" w:cstheme="minorHAnsi"/>
        </w:rPr>
        <w:t xml:space="preserve">Supongamos que se tiene un grupo de alumnos que realizaron un examen de opción múltiple </w:t>
      </w:r>
      <w:r w:rsidR="00631A39">
        <w:rPr>
          <w:rFonts w:asciiTheme="minorHAnsi" w:hAnsiTheme="minorHAnsi" w:cstheme="minorHAnsi"/>
        </w:rPr>
        <w:t xml:space="preserve">(cada pregunta tiene dos opciones) </w:t>
      </w:r>
      <w:r>
        <w:rPr>
          <w:rFonts w:asciiTheme="minorHAnsi" w:hAnsiTheme="minorHAnsi" w:cstheme="minorHAnsi"/>
        </w:rPr>
        <w:t>de forma completamente aleatoria</w:t>
      </w:r>
      <w:r w:rsidR="00631A39">
        <w:rPr>
          <w:rFonts w:asciiTheme="minorHAnsi" w:hAnsiTheme="minorHAnsi" w:cstheme="minorHAnsi"/>
        </w:rPr>
        <w:t xml:space="preserve">. Algunos estudiantes obtendrán calificaciones altas. Si tomamos el 10% de los estudiantes con mejores calificaciones y los hacemos repetir el examen y lo contestan igualmente de forma aleatoria, probablemente </w:t>
      </w:r>
      <w:r w:rsidR="00631A39">
        <w:rPr>
          <w:rFonts w:asciiTheme="minorHAnsi" w:hAnsiTheme="minorHAnsi" w:cstheme="minorHAnsi"/>
        </w:rPr>
        <w:lastRenderedPageBreak/>
        <w:t xml:space="preserve">obtendrán calificaciones más que se acerquen más al promedio del grupo general, al igual que si lo repitieran los alumnos con el 10% de los peores resultados. </w:t>
      </w:r>
    </w:p>
    <w:p w14:paraId="7851AF97" w14:textId="529A6235" w:rsidR="00D321DB" w:rsidRPr="00D321DB" w:rsidRDefault="00D321DB" w:rsidP="007827F8">
      <w:pPr>
        <w:rPr>
          <w:rFonts w:asciiTheme="minorHAnsi" w:hAnsiTheme="minorHAnsi" w:cstheme="minorHAnsi"/>
          <w:b/>
          <w:bCs/>
          <w:sz w:val="28"/>
          <w:szCs w:val="24"/>
        </w:rPr>
      </w:pPr>
      <w:r w:rsidRPr="00D321DB">
        <w:rPr>
          <w:rFonts w:asciiTheme="minorHAnsi" w:hAnsiTheme="minorHAnsi" w:cstheme="minorHAnsi"/>
          <w:b/>
          <w:bCs/>
          <w:sz w:val="28"/>
          <w:szCs w:val="24"/>
        </w:rPr>
        <w:t>Discriminación estadística</w:t>
      </w:r>
    </w:p>
    <w:p w14:paraId="7CB41B74" w14:textId="5A01524E" w:rsidR="00D321DB" w:rsidRDefault="00D321DB" w:rsidP="00631A39">
      <w:pPr>
        <w:ind w:firstLine="360"/>
        <w:rPr>
          <w:rFonts w:asciiTheme="minorHAnsi" w:hAnsiTheme="minorHAnsi" w:cstheme="minorHAnsi"/>
        </w:rPr>
      </w:pPr>
      <w:r w:rsidRPr="00D321DB">
        <w:rPr>
          <w:rFonts w:asciiTheme="minorHAnsi" w:hAnsiTheme="minorHAnsi" w:cstheme="minorHAnsi"/>
        </w:rPr>
        <w:t xml:space="preserve">La discriminación estadística es cuando de forma no ética o moral se </w:t>
      </w:r>
      <w:r w:rsidR="00D53160">
        <w:rPr>
          <w:rFonts w:asciiTheme="minorHAnsi" w:hAnsiTheme="minorHAnsi" w:cstheme="minorHAnsi"/>
        </w:rPr>
        <w:t xml:space="preserve">usa algunas características como el físico, </w:t>
      </w:r>
      <w:r w:rsidR="00D53160" w:rsidRPr="00D53160">
        <w:rPr>
          <w:rFonts w:asciiTheme="minorHAnsi" w:hAnsiTheme="minorHAnsi" w:cstheme="minorHAnsi"/>
        </w:rPr>
        <w:t>la raza, el color de piel, la etnia, religión o cualquier otra cosa para influir en decisiones o conclusiones basadas en datos o estadísticas. Esto puede llevar a resultados injustos o sesgados</w:t>
      </w:r>
      <w:r w:rsidR="00D53160">
        <w:rPr>
          <w:rFonts w:asciiTheme="minorHAnsi" w:hAnsiTheme="minorHAnsi" w:cstheme="minorHAnsi"/>
        </w:rPr>
        <w:t>. Como por ejemplo cuando un empleador utiliza el genero de una persona como un factor decisivo para la contratación de un puesto, pues esta no es una característica que defina las habilidades que hagan a una persona apta o no para un trabajo.</w:t>
      </w:r>
    </w:p>
    <w:p w14:paraId="6D3D6F4A" w14:textId="1ACF7A78" w:rsidR="00D53160" w:rsidRDefault="00D53160" w:rsidP="00631A39">
      <w:pPr>
        <w:ind w:firstLine="360"/>
        <w:rPr>
          <w:rFonts w:asciiTheme="minorHAnsi" w:hAnsiTheme="minorHAnsi" w:cstheme="minorHAnsi"/>
        </w:rPr>
      </w:pPr>
      <w:r>
        <w:rPr>
          <w:rFonts w:asciiTheme="minorHAnsi" w:hAnsiTheme="minorHAnsi" w:cstheme="minorHAnsi"/>
        </w:rPr>
        <w:t xml:space="preserve">Otro ejemplo de esto es el caso del algoritmo </w:t>
      </w:r>
      <w:r w:rsidR="00323E92">
        <w:rPr>
          <w:rFonts w:asciiTheme="minorHAnsi" w:hAnsiTheme="minorHAnsi" w:cstheme="minorHAnsi"/>
        </w:rPr>
        <w:t>COMPAS (</w:t>
      </w:r>
      <w:r w:rsidR="00323E92">
        <w:rPr>
          <w:rFonts w:ascii="Roboto" w:hAnsi="Roboto"/>
          <w:color w:val="111111"/>
          <w:shd w:val="clear" w:color="auto" w:fill="F7F7F7"/>
        </w:rPr>
        <w:t>Correctional Offender Management Profiling for Alternative Sanctions</w:t>
      </w:r>
      <w:r w:rsidR="00323E92">
        <w:rPr>
          <w:rFonts w:asciiTheme="minorHAnsi" w:hAnsiTheme="minorHAnsi" w:cstheme="minorHAnsi"/>
        </w:rPr>
        <w:t xml:space="preserve">), un algoritmo que intentaba predecir el riesgo de incidencia de los acusados en Estados Unidos. Este es un algoritmo de aprendizaje supervisado, el cuál fue entrenado con datos históricos que reflejaban discriminación racial, lo cual se vio repercutido en este, pues según estudios hechos en el 2016, </w:t>
      </w:r>
      <w:r w:rsidR="00B77455">
        <w:rPr>
          <w:rFonts w:asciiTheme="minorHAnsi" w:hAnsiTheme="minorHAnsi" w:cstheme="minorHAnsi"/>
        </w:rPr>
        <w:t>este algoritmo presentaba un sesgo racial, ya que sub estimaba la probabilidad de incidencia para los acusados blancos, mientras que por el contrario, sobre estimaba la probabilidad de incidencia criminal de los acusados negros.</w:t>
      </w:r>
      <w:r w:rsidR="0047411F">
        <w:rPr>
          <w:rFonts w:asciiTheme="minorHAnsi" w:hAnsiTheme="minorHAnsi" w:cstheme="minorHAnsi"/>
        </w:rPr>
        <w:t xml:space="preserve"> </w:t>
      </w:r>
      <w:r w:rsidR="0047411F" w:rsidRPr="0047411F">
        <w:rPr>
          <w:rFonts w:asciiTheme="minorHAnsi" w:hAnsiTheme="minorHAnsi" w:cstheme="minorHAnsi"/>
          <w:vertAlign w:val="superscript"/>
        </w:rPr>
        <w:t>[3]</w:t>
      </w:r>
    </w:p>
    <w:p w14:paraId="5CED9CE2" w14:textId="77777777" w:rsidR="001D0514" w:rsidRDefault="001D0514" w:rsidP="00631A39">
      <w:pPr>
        <w:ind w:firstLine="360"/>
        <w:rPr>
          <w:rFonts w:asciiTheme="minorHAnsi" w:hAnsiTheme="minorHAnsi" w:cstheme="minorHAnsi"/>
        </w:rPr>
      </w:pPr>
    </w:p>
    <w:p w14:paraId="34C6726B" w14:textId="0951156C" w:rsidR="001D0514" w:rsidRPr="00D321DB" w:rsidRDefault="001D0514" w:rsidP="00631A39">
      <w:pPr>
        <w:ind w:firstLine="360"/>
        <w:rPr>
          <w:rFonts w:asciiTheme="minorHAnsi" w:hAnsiTheme="minorHAnsi" w:cstheme="minorHAnsi"/>
        </w:rPr>
      </w:pPr>
      <w:r w:rsidRPr="001D0514">
        <w:rPr>
          <w:rFonts w:asciiTheme="minorHAnsi" w:hAnsiTheme="minorHAnsi" w:cstheme="minorHAnsi"/>
        </w:rPr>
        <w:t>En conclusión, la probabilidad y la estadística son herramientas poderosas para la toma de decisiones, pero su uso incorrecto puede tener consecuencias significativ</w:t>
      </w:r>
      <w:r>
        <w:rPr>
          <w:rFonts w:asciiTheme="minorHAnsi" w:hAnsiTheme="minorHAnsi" w:cstheme="minorHAnsi"/>
        </w:rPr>
        <w:t xml:space="preserve">as, en cualquier área donde se pretenda usarlas, y es </w:t>
      </w:r>
      <w:r w:rsidRPr="001D0514">
        <w:rPr>
          <w:rFonts w:asciiTheme="minorHAnsi" w:hAnsiTheme="minorHAnsi" w:cstheme="minorHAnsi"/>
        </w:rPr>
        <w:t xml:space="preserve">fundamental comprender y aplicar </w:t>
      </w:r>
      <w:r>
        <w:rPr>
          <w:rFonts w:asciiTheme="minorHAnsi" w:hAnsiTheme="minorHAnsi" w:cstheme="minorHAnsi"/>
        </w:rPr>
        <w:t xml:space="preserve">estos conceptos adecuadamente </w:t>
      </w:r>
      <w:r w:rsidRPr="001D0514">
        <w:rPr>
          <w:rFonts w:asciiTheme="minorHAnsi" w:hAnsiTheme="minorHAnsi" w:cstheme="minorHAnsi"/>
        </w:rPr>
        <w:t>para evitar</w:t>
      </w:r>
      <w:r w:rsidR="0047411F">
        <w:rPr>
          <w:rFonts w:asciiTheme="minorHAnsi" w:hAnsiTheme="minorHAnsi" w:cstheme="minorHAnsi"/>
        </w:rPr>
        <w:t xml:space="preserve"> </w:t>
      </w:r>
      <w:r w:rsidR="0047411F" w:rsidRPr="001D0514">
        <w:rPr>
          <w:rFonts w:asciiTheme="minorHAnsi" w:hAnsiTheme="minorHAnsi" w:cstheme="minorHAnsi"/>
        </w:rPr>
        <w:t>riesgos innecesarios</w:t>
      </w:r>
      <w:r w:rsidRPr="001D0514">
        <w:rPr>
          <w:rFonts w:asciiTheme="minorHAnsi" w:hAnsiTheme="minorHAnsi" w:cstheme="minorHAnsi"/>
        </w:rPr>
        <w:t xml:space="preserve"> </w:t>
      </w:r>
      <w:r w:rsidR="0047411F">
        <w:rPr>
          <w:rFonts w:asciiTheme="minorHAnsi" w:hAnsiTheme="minorHAnsi" w:cstheme="minorHAnsi"/>
        </w:rPr>
        <w:t>y poder tomar decisiones de manera informada y segura</w:t>
      </w:r>
      <w:r w:rsidRPr="001D0514">
        <w:rPr>
          <w:rFonts w:asciiTheme="minorHAnsi" w:hAnsiTheme="minorHAnsi" w:cstheme="minorHAnsi"/>
        </w:rPr>
        <w:t xml:space="preserve">. </w:t>
      </w:r>
    </w:p>
    <w:p w14:paraId="338C0392" w14:textId="77777777" w:rsidR="00A16063" w:rsidRDefault="00A16063" w:rsidP="008E5062">
      <w:pPr>
        <w:ind w:firstLine="360"/>
        <w:rPr>
          <w:rFonts w:asciiTheme="minorHAnsi" w:hAnsiTheme="minorHAnsi" w:cstheme="minorHAnsi"/>
        </w:rPr>
      </w:pPr>
    </w:p>
    <w:p w14:paraId="1F112433" w14:textId="77777777" w:rsidR="00506E5E" w:rsidRDefault="00506E5E" w:rsidP="008E5062">
      <w:pPr>
        <w:ind w:firstLine="360"/>
        <w:rPr>
          <w:rFonts w:asciiTheme="minorHAnsi" w:hAnsiTheme="minorHAnsi" w:cstheme="minorHAnsi"/>
        </w:rPr>
      </w:pPr>
    </w:p>
    <w:p w14:paraId="668E0C90" w14:textId="77777777" w:rsidR="00864F66" w:rsidRPr="008E5062" w:rsidRDefault="00864F66" w:rsidP="008E5062">
      <w:pPr>
        <w:ind w:firstLine="360"/>
        <w:rPr>
          <w:rFonts w:asciiTheme="minorHAnsi" w:hAnsiTheme="minorHAnsi" w:cstheme="minorHAnsi"/>
        </w:rPr>
      </w:pPr>
    </w:p>
    <w:p w14:paraId="7211592F" w14:textId="34A9EEF0" w:rsidR="00761C75" w:rsidRDefault="0047411F" w:rsidP="00761C75">
      <w:pPr>
        <w:ind w:firstLine="360"/>
        <w:rPr>
          <w:rFonts w:asciiTheme="minorHAnsi" w:hAnsiTheme="minorHAnsi" w:cstheme="minorHAnsi"/>
        </w:rPr>
      </w:pPr>
      <w:r>
        <w:rPr>
          <w:rFonts w:asciiTheme="minorHAnsi" w:hAnsiTheme="minorHAnsi" w:cstheme="minorHAnsi"/>
        </w:rPr>
        <w:t>[3](</w:t>
      </w:r>
      <w:r w:rsidRPr="0047411F">
        <w:rPr>
          <w:rFonts w:asciiTheme="minorHAnsi" w:hAnsiTheme="minorHAnsi" w:cstheme="minorHAnsi"/>
        </w:rPr>
        <w:t>Jeff Larson</w:t>
      </w:r>
      <w:r w:rsidRPr="0047411F">
        <w:rPr>
          <w:rFonts w:asciiTheme="minorHAnsi" w:hAnsiTheme="minorHAnsi" w:cstheme="minorHAnsi"/>
        </w:rPr>
        <w:t>, et al, 2016)</w:t>
      </w:r>
    </w:p>
    <w:p w14:paraId="76FC5494" w14:textId="77777777" w:rsidR="0047411F" w:rsidRDefault="0047411F" w:rsidP="0047411F">
      <w:pPr>
        <w:ind w:firstLine="360"/>
        <w:rPr>
          <w:rFonts w:asciiTheme="minorHAnsi" w:hAnsiTheme="minorHAnsi" w:cstheme="minorHAnsi"/>
        </w:rPr>
      </w:pPr>
    </w:p>
    <w:p w14:paraId="13069410" w14:textId="7227ABF2" w:rsidR="00877F4C" w:rsidRPr="0047411F" w:rsidRDefault="00877F4C" w:rsidP="0047411F">
      <w:pPr>
        <w:ind w:firstLine="360"/>
        <w:rPr>
          <w:rFonts w:asciiTheme="minorHAnsi" w:hAnsiTheme="minorHAnsi" w:cstheme="minorHAnsi"/>
        </w:rPr>
      </w:pPr>
      <w:r w:rsidRPr="0047411F">
        <w:rPr>
          <w:rFonts w:asciiTheme="minorHAnsi" w:hAnsiTheme="minorHAnsi" w:cstheme="minorHAnsi"/>
        </w:rPr>
        <w:lastRenderedPageBreak/>
        <w:t>Bibliografía</w:t>
      </w:r>
    </w:p>
    <w:p w14:paraId="19E1D0A0" w14:textId="6F221E0B" w:rsidR="00A30742" w:rsidRPr="0072068F" w:rsidRDefault="002E6C26" w:rsidP="00A30742">
      <w:pPr>
        <w:pStyle w:val="Prrafodelista"/>
        <w:numPr>
          <w:ilvl w:val="0"/>
          <w:numId w:val="5"/>
        </w:numPr>
        <w:rPr>
          <w:rFonts w:asciiTheme="minorHAnsi" w:hAnsiTheme="minorHAnsi" w:cstheme="minorHAnsi"/>
        </w:rPr>
      </w:pPr>
      <w:r>
        <w:t xml:space="preserve">[1] </w:t>
      </w:r>
      <w:r w:rsidR="00A30742">
        <w:t>Alan David Ramírez Noriega</w:t>
      </w:r>
      <w:r w:rsidR="00A30742">
        <w:t xml:space="preserve"> </w:t>
      </w:r>
      <w:r w:rsidR="00A30742" w:rsidRPr="002E6C26">
        <w:rPr>
          <w:i/>
          <w:iCs/>
        </w:rPr>
        <w:t>et all</w:t>
      </w:r>
      <w:r w:rsidR="00A30742">
        <w:t>,</w:t>
      </w:r>
      <w:r>
        <w:t xml:space="preserve"> 2024</w:t>
      </w:r>
      <w:r w:rsidR="00A30742">
        <w:t xml:space="preserve">. </w:t>
      </w:r>
      <w:r>
        <w:t>Probabilidad y estadística en la toma de decisiones</w:t>
      </w:r>
      <w:r w:rsidR="00A30742">
        <w:t xml:space="preserve">. </w:t>
      </w:r>
      <w:r>
        <w:t>Revista Digital Universitaria</w:t>
      </w:r>
      <w:r w:rsidR="00A30742">
        <w:t xml:space="preserve">, </w:t>
      </w:r>
      <w:r>
        <w:t>Volumen 15, Numero 2, Página 1</w:t>
      </w:r>
      <w:r w:rsidR="00A30742">
        <w:t>.</w:t>
      </w:r>
    </w:p>
    <w:p w14:paraId="78C7A0F4" w14:textId="68F3594A" w:rsidR="00877F4C" w:rsidRPr="007827F8" w:rsidRDefault="0072068F" w:rsidP="00D321DB">
      <w:pPr>
        <w:pStyle w:val="Prrafodelista"/>
        <w:numPr>
          <w:ilvl w:val="0"/>
          <w:numId w:val="5"/>
        </w:numPr>
        <w:rPr>
          <w:rFonts w:asciiTheme="minorHAnsi" w:hAnsiTheme="minorHAnsi" w:cstheme="minorHAnsi"/>
        </w:rPr>
      </w:pPr>
      <w:r w:rsidRPr="007827F8">
        <w:t>Jorion, P. (2001). Value at Risk: The New Benchmark for Managing Financial Risk (2nd Ed.). McGraw-Hill.</w:t>
      </w:r>
    </w:p>
    <w:p w14:paraId="3A064AC7" w14:textId="1BD79EDF" w:rsidR="007827F8" w:rsidRPr="00D321DB" w:rsidRDefault="0047411F" w:rsidP="0047411F">
      <w:pPr>
        <w:pStyle w:val="Prrafodelista"/>
        <w:numPr>
          <w:ilvl w:val="0"/>
          <w:numId w:val="5"/>
        </w:numPr>
        <w:rPr>
          <w:rFonts w:asciiTheme="minorHAnsi" w:hAnsiTheme="minorHAnsi" w:cstheme="minorHAnsi"/>
        </w:rPr>
      </w:pPr>
      <w:r w:rsidRPr="0047411F">
        <w:rPr>
          <w:rFonts w:asciiTheme="minorHAnsi" w:hAnsiTheme="minorHAnsi" w:cstheme="minorHAnsi"/>
        </w:rPr>
        <w:t>Jeff Larson, et al, 2016</w:t>
      </w:r>
      <w:r>
        <w:rPr>
          <w:rFonts w:asciiTheme="minorHAnsi" w:hAnsiTheme="minorHAnsi" w:cstheme="minorHAnsi"/>
        </w:rPr>
        <w:t>,</w:t>
      </w:r>
      <w:r w:rsidRPr="0047411F">
        <w:t>"How We Analyzed the COMPAS Recidivism Algorithm." ProPublica, 13 June 2016. https://www.propublica.org/article/how-we-analyzed-the-compas-recidivism-algorithm.</w:t>
      </w:r>
    </w:p>
    <w:sectPr w:rsidR="007827F8" w:rsidRPr="00D321DB" w:rsidSect="000A505D">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2148E6" w14:textId="77777777" w:rsidR="000A505D" w:rsidRDefault="000A505D" w:rsidP="005E5DA3">
      <w:pPr>
        <w:spacing w:after="0" w:line="240" w:lineRule="auto"/>
      </w:pPr>
      <w:r>
        <w:separator/>
      </w:r>
    </w:p>
  </w:endnote>
  <w:endnote w:type="continuationSeparator" w:id="0">
    <w:p w14:paraId="25B74FCB" w14:textId="77777777" w:rsidR="000A505D" w:rsidRDefault="000A505D"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4B9801" w14:textId="77777777" w:rsidR="000A505D" w:rsidRDefault="000A505D" w:rsidP="005E5DA3">
      <w:pPr>
        <w:spacing w:after="0" w:line="240" w:lineRule="auto"/>
      </w:pPr>
      <w:r>
        <w:separator/>
      </w:r>
    </w:p>
  </w:footnote>
  <w:footnote w:type="continuationSeparator" w:id="0">
    <w:p w14:paraId="477F67A1" w14:textId="77777777" w:rsidR="000A505D" w:rsidRDefault="000A505D"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95E1634"/>
    <w:multiLevelType w:val="hybridMultilevel"/>
    <w:tmpl w:val="0E8E9BDA"/>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42660580"/>
    <w:multiLevelType w:val="hybridMultilevel"/>
    <w:tmpl w:val="4106F7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A070BE"/>
    <w:multiLevelType w:val="hybridMultilevel"/>
    <w:tmpl w:val="D54AF5D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0"/>
  </w:num>
  <w:num w:numId="2" w16cid:durableId="116146303">
    <w:abstractNumId w:val="4"/>
  </w:num>
  <w:num w:numId="3" w16cid:durableId="1437484115">
    <w:abstractNumId w:val="3"/>
  </w:num>
  <w:num w:numId="4" w16cid:durableId="691536586">
    <w:abstractNumId w:val="1"/>
  </w:num>
  <w:num w:numId="5" w16cid:durableId="1308778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A505D"/>
    <w:rsid w:val="000D542F"/>
    <w:rsid w:val="000D654D"/>
    <w:rsid w:val="001C1F90"/>
    <w:rsid w:val="001C62D5"/>
    <w:rsid w:val="001D0514"/>
    <w:rsid w:val="001E79AF"/>
    <w:rsid w:val="002B7438"/>
    <w:rsid w:val="002E6C26"/>
    <w:rsid w:val="002F2518"/>
    <w:rsid w:val="00321653"/>
    <w:rsid w:val="00323E92"/>
    <w:rsid w:val="003261CC"/>
    <w:rsid w:val="00394597"/>
    <w:rsid w:val="003A3386"/>
    <w:rsid w:val="0040367F"/>
    <w:rsid w:val="0046272D"/>
    <w:rsid w:val="0047411F"/>
    <w:rsid w:val="004747E9"/>
    <w:rsid w:val="004F3680"/>
    <w:rsid w:val="00506E5E"/>
    <w:rsid w:val="00556064"/>
    <w:rsid w:val="005831CC"/>
    <w:rsid w:val="005A2BD1"/>
    <w:rsid w:val="005A4DBB"/>
    <w:rsid w:val="005B5049"/>
    <w:rsid w:val="005E5DA3"/>
    <w:rsid w:val="006006D5"/>
    <w:rsid w:val="00631A39"/>
    <w:rsid w:val="00696F6E"/>
    <w:rsid w:val="006A6B6C"/>
    <w:rsid w:val="00707FEB"/>
    <w:rsid w:val="0072068F"/>
    <w:rsid w:val="00761C75"/>
    <w:rsid w:val="007827F8"/>
    <w:rsid w:val="00796EFE"/>
    <w:rsid w:val="007B15A4"/>
    <w:rsid w:val="007B1693"/>
    <w:rsid w:val="00827FE5"/>
    <w:rsid w:val="00851F24"/>
    <w:rsid w:val="00864F66"/>
    <w:rsid w:val="008705E4"/>
    <w:rsid w:val="00873A36"/>
    <w:rsid w:val="00877F4C"/>
    <w:rsid w:val="00880AA3"/>
    <w:rsid w:val="008822D6"/>
    <w:rsid w:val="008E5062"/>
    <w:rsid w:val="0095168D"/>
    <w:rsid w:val="00995096"/>
    <w:rsid w:val="009C2D42"/>
    <w:rsid w:val="009D5D00"/>
    <w:rsid w:val="00A16063"/>
    <w:rsid w:val="00A23F5B"/>
    <w:rsid w:val="00A30742"/>
    <w:rsid w:val="00A333BB"/>
    <w:rsid w:val="00A461FF"/>
    <w:rsid w:val="00A55941"/>
    <w:rsid w:val="00A72857"/>
    <w:rsid w:val="00AC18EF"/>
    <w:rsid w:val="00AE7ACB"/>
    <w:rsid w:val="00B20D63"/>
    <w:rsid w:val="00B53F20"/>
    <w:rsid w:val="00B77455"/>
    <w:rsid w:val="00BC6724"/>
    <w:rsid w:val="00BD5E38"/>
    <w:rsid w:val="00C36AF3"/>
    <w:rsid w:val="00CB0308"/>
    <w:rsid w:val="00CB66BF"/>
    <w:rsid w:val="00D321DB"/>
    <w:rsid w:val="00D37971"/>
    <w:rsid w:val="00D44AB0"/>
    <w:rsid w:val="00D52CAF"/>
    <w:rsid w:val="00D53160"/>
    <w:rsid w:val="00DD562B"/>
    <w:rsid w:val="00E0618B"/>
    <w:rsid w:val="00E148B8"/>
    <w:rsid w:val="00E31859"/>
    <w:rsid w:val="00E52111"/>
    <w:rsid w:val="00E55AEA"/>
    <w:rsid w:val="00E92F45"/>
    <w:rsid w:val="00EB44E8"/>
    <w:rsid w:val="00EF21A8"/>
    <w:rsid w:val="00F022D1"/>
    <w:rsid w:val="00F14F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 w:type="character" w:styleId="Textodelmarcadordeposicin">
    <w:name w:val="Placeholder Text"/>
    <w:basedOn w:val="Fuentedeprrafopredeter"/>
    <w:uiPriority w:val="99"/>
    <w:semiHidden/>
    <w:rsid w:val="009D5D00"/>
    <w:rPr>
      <w:color w:val="666666"/>
    </w:rPr>
  </w:style>
  <w:style w:type="character" w:styleId="Hipervnculo">
    <w:name w:val="Hyperlink"/>
    <w:basedOn w:val="Fuentedeprrafopredeter"/>
    <w:uiPriority w:val="99"/>
    <w:unhideWhenUsed/>
    <w:rsid w:val="00323E92"/>
    <w:rPr>
      <w:color w:val="0563C1" w:themeColor="hyperlink"/>
      <w:u w:val="single"/>
    </w:rPr>
  </w:style>
  <w:style w:type="character" w:styleId="Mencinsinresolver">
    <w:name w:val="Unresolved Mention"/>
    <w:basedOn w:val="Fuentedeprrafopredeter"/>
    <w:uiPriority w:val="99"/>
    <w:semiHidden/>
    <w:unhideWhenUsed/>
    <w:rsid w:val="00323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862280">
      <w:bodyDiv w:val="1"/>
      <w:marLeft w:val="0"/>
      <w:marRight w:val="0"/>
      <w:marTop w:val="0"/>
      <w:marBottom w:val="0"/>
      <w:divBdr>
        <w:top w:val="none" w:sz="0" w:space="0" w:color="auto"/>
        <w:left w:val="none" w:sz="0" w:space="0" w:color="auto"/>
        <w:bottom w:val="none" w:sz="0" w:space="0" w:color="auto"/>
        <w:right w:val="none" w:sz="0" w:space="0" w:color="auto"/>
      </w:divBdr>
    </w:div>
    <w:div w:id="1049693177">
      <w:bodyDiv w:val="1"/>
      <w:marLeft w:val="0"/>
      <w:marRight w:val="0"/>
      <w:marTop w:val="0"/>
      <w:marBottom w:val="0"/>
      <w:divBdr>
        <w:top w:val="none" w:sz="0" w:space="0" w:color="auto"/>
        <w:left w:val="none" w:sz="0" w:space="0" w:color="auto"/>
        <w:bottom w:val="none" w:sz="0" w:space="0" w:color="auto"/>
        <w:right w:val="none" w:sz="0" w:space="0" w:color="auto"/>
      </w:divBdr>
    </w:div>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 w:id="212869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7</Pages>
  <Words>1530</Words>
  <Characters>8419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6</cp:revision>
  <cp:lastPrinted>2022-02-02T23:42:00Z</cp:lastPrinted>
  <dcterms:created xsi:type="dcterms:W3CDTF">2024-04-24T06:10:00Z</dcterms:created>
  <dcterms:modified xsi:type="dcterms:W3CDTF">2024-04-29T03:50:00Z</dcterms:modified>
</cp:coreProperties>
</file>