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keepNext w:val="0"/>
        <w:keepLines w:val="0"/>
        <w:widowControl w:val="0"/>
        <w:spacing w:after="80" w:before="0" w:line="288" w:lineRule="auto"/>
        <w:rPr/>
      </w:pPr>
      <w:bookmarkStart w:colFirst="0" w:colLast="0" w:name="_heading=h.5r0qpa60i4ch" w:id="0"/>
      <w:bookmarkEnd w:id="0"/>
      <w:r w:rsidDel="00000000" w:rsidR="00000000" w:rsidRPr="00000000">
        <w:rPr>
          <w:rtl w:val="0"/>
        </w:rPr>
        <w:t xml:space="preserve">Comparativa entre tecnologías de procesamiento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486400" cy="5486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170.0" w:type="dxa"/>
        <w:jc w:val="left"/>
        <w:tblInd w:w="-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400"/>
      </w:tblPr>
      <w:tblGrid>
        <w:gridCol w:w="1950"/>
        <w:gridCol w:w="1980"/>
        <w:gridCol w:w="2010"/>
        <w:gridCol w:w="2190"/>
        <w:gridCol w:w="2040"/>
        <w:tblGridChange w:id="0">
          <w:tblGrid>
            <w:gridCol w:w="1950"/>
            <w:gridCol w:w="1980"/>
            <w:gridCol w:w="2010"/>
            <w:gridCol w:w="2190"/>
            <w:gridCol w:w="2040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ffffff" w:space="0" w:sz="8" w:val="single"/>
              <w:left w:color="ffffff" w:space="0" w:sz="8" w:val="single"/>
            </w:tcBorders>
            <w:shd w:fill="ffffff" w:val="clear"/>
          </w:tcPr>
          <w:p w:rsidR="00000000" w:rsidDel="00000000" w:rsidP="00000000" w:rsidRDefault="00000000" w:rsidRPr="00000000" w14:paraId="0000000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9daf8" w:val="clear"/>
          </w:tcPr>
          <w:p w:rsidR="00000000" w:rsidDel="00000000" w:rsidP="00000000" w:rsidRDefault="00000000" w:rsidRPr="00000000" w14:paraId="0000000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Computación Paralela</w:t>
            </w:r>
          </w:p>
        </w:tc>
        <w:tc>
          <w:tcPr>
            <w:shd w:fill="c9daf8" w:val="clear"/>
          </w:tcPr>
          <w:p w:rsidR="00000000" w:rsidDel="00000000" w:rsidP="00000000" w:rsidRDefault="00000000" w:rsidRPr="00000000" w14:paraId="0000000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Computación Distribuida</w:t>
            </w:r>
          </w:p>
        </w:tc>
        <w:tc>
          <w:tcPr>
            <w:shd w:fill="c9daf8" w:val="clear"/>
          </w:tcPr>
          <w:p w:rsidR="00000000" w:rsidDel="00000000" w:rsidP="00000000" w:rsidRDefault="00000000" w:rsidRPr="00000000" w14:paraId="0000000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Grid Computing</w:t>
            </w:r>
          </w:p>
        </w:tc>
        <w:tc>
          <w:tcPr>
            <w:shd w:fill="c9daf8" w:val="clear"/>
          </w:tcPr>
          <w:p w:rsidR="00000000" w:rsidDel="00000000" w:rsidP="00000000" w:rsidRDefault="00000000" w:rsidRPr="00000000" w14:paraId="0000000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Cloud Computing</w:t>
            </w:r>
          </w:p>
        </w:tc>
      </w:tr>
      <w:tr>
        <w:trPr>
          <w:cantSplit w:val="0"/>
          <w:trHeight w:val="1533.03955078125" w:hRule="atLeast"/>
          <w:tblHeader w:val="0"/>
        </w:trPr>
        <w:tc>
          <w:tcPr>
            <w:shd w:fill="d9ead3" w:val="clear"/>
          </w:tcPr>
          <w:p w:rsidR="00000000" w:rsidDel="00000000" w:rsidP="00000000" w:rsidRDefault="00000000" w:rsidRPr="00000000" w14:paraId="0000001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Definición</w:t>
            </w:r>
          </w:p>
        </w:tc>
        <w:tc>
          <w:tcPr/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Múltiples tareas simultáneas con varios procesadores o núcleos.</w:t>
            </w:r>
          </w:p>
        </w:tc>
        <w:tc>
          <w:tcPr/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Distribución de carga de trabajo entre dispositivos conectados.</w:t>
            </w:r>
          </w:p>
        </w:tc>
        <w:tc>
          <w:tcPr/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Uso de recursos de cómputo distribuidos para resolver problemas.</w:t>
            </w:r>
          </w:p>
        </w:tc>
        <w:tc>
          <w:tcPr/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Provisión de servicios de TI a través de internet.</w:t>
            </w:r>
          </w:p>
        </w:tc>
      </w:tr>
      <w:tr>
        <w:trPr>
          <w:cantSplit w:val="0"/>
          <w:trHeight w:val="1281.431640625" w:hRule="atLeast"/>
          <w:tblHeader w:val="0"/>
        </w:trPr>
        <w:tc>
          <w:tcPr>
            <w:shd w:fill="d9ead3" w:val="clear"/>
          </w:tcPr>
          <w:p w:rsidR="00000000" w:rsidDel="00000000" w:rsidP="00000000" w:rsidRDefault="00000000" w:rsidRPr="00000000" w14:paraId="0000001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Arquitectura</w:t>
            </w:r>
          </w:p>
        </w:tc>
        <w:tc>
          <w:tcPr/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Varios procesadores trabajando en conjunto.</w:t>
            </w:r>
          </w:p>
        </w:tc>
        <w:tc>
          <w:tcPr/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Múltiples sistemas independientes conectados.</w:t>
            </w:r>
          </w:p>
        </w:tc>
        <w:tc>
          <w:tcPr/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Red de nodos contribuyendo con recursos de cómputo.</w:t>
            </w:r>
          </w:p>
        </w:tc>
        <w:tc>
          <w:tcPr/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Proveedores que ofrecen recursos virtualizados.</w:t>
            </w:r>
          </w:p>
        </w:tc>
      </w:tr>
      <w:tr>
        <w:trPr>
          <w:cantSplit w:val="0"/>
          <w:trHeight w:val="1488.03955078125" w:hRule="atLeast"/>
          <w:tblHeader w:val="0"/>
        </w:trPr>
        <w:tc>
          <w:tcPr>
            <w:shd w:fill="d9ead3" w:val="clear"/>
          </w:tcPr>
          <w:p w:rsidR="00000000" w:rsidDel="00000000" w:rsidP="00000000" w:rsidRDefault="00000000" w:rsidRPr="00000000" w14:paraId="0000001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Funcionamiento</w:t>
            </w:r>
          </w:p>
        </w:tc>
        <w:tc>
          <w:tcPr/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Divide el problema en partes pequeñas que se resuelven simultáneamente.</w:t>
            </w:r>
          </w:p>
        </w:tc>
        <w:tc>
          <w:tcPr/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Nodos</w:t>
            </w:r>
            <w:r w:rsidDel="00000000" w:rsidR="00000000" w:rsidRPr="00000000">
              <w:rPr>
                <w:rtl w:val="0"/>
              </w:rPr>
              <w:t xml:space="preserve"> trabajan colaborativamente para lograr un objetivo común.</w:t>
            </w:r>
          </w:p>
        </w:tc>
        <w:tc>
          <w:tcPr/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Tareas divididas y distribuidas a través de la red de nodos.</w:t>
            </w:r>
          </w:p>
        </w:tc>
        <w:tc>
          <w:tcPr/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Acceso a recursos a través de servicios en línea.</w:t>
            </w:r>
          </w:p>
        </w:tc>
      </w:tr>
      <w:tr>
        <w:trPr>
          <w:cantSplit w:val="0"/>
          <w:trHeight w:val="1814.6474609375002" w:hRule="atLeast"/>
          <w:tblHeader w:val="0"/>
        </w:trPr>
        <w:tc>
          <w:tcPr>
            <w:shd w:fill="d9ead3" w:val="clear"/>
          </w:tcPr>
          <w:p w:rsidR="00000000" w:rsidDel="00000000" w:rsidP="00000000" w:rsidRDefault="00000000" w:rsidRPr="00000000" w14:paraId="0000001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Aplicaciones</w:t>
            </w:r>
          </w:p>
        </w:tc>
        <w:tc>
          <w:tcPr/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Modelado climático, simulaciones científicas.</w:t>
            </w:r>
          </w:p>
        </w:tc>
        <w:tc>
          <w:tcPr/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Sistemas de gestión de bases de datos distribuidas, aplicaciones web escalables.</w:t>
            </w:r>
          </w:p>
        </w:tc>
        <w:tc>
          <w:tcPr/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Investigación científica, cálculos intensivos.</w:t>
            </w:r>
          </w:p>
        </w:tc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Almacenamiento en la nube, plataformas de desarrollo, servicios web.</w:t>
            </w:r>
          </w:p>
        </w:tc>
      </w:tr>
      <w:tr>
        <w:trPr>
          <w:cantSplit w:val="0"/>
          <w:trHeight w:val="1518.03955078125" w:hRule="atLeast"/>
          <w:tblHeader w:val="0"/>
        </w:trPr>
        <w:tc>
          <w:tcPr>
            <w:shd w:fill="d9ead3" w:val="clear"/>
          </w:tcPr>
          <w:p w:rsidR="00000000" w:rsidDel="00000000" w:rsidP="00000000" w:rsidRDefault="00000000" w:rsidRPr="00000000" w14:paraId="0000002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Uso</w:t>
            </w:r>
          </w:p>
        </w:tc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Problemas que se pueden dividir en tareas independientes.</w:t>
            </w:r>
          </w:p>
        </w:tc>
        <w:tc>
          <w:tcPr/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Cuando la tarea no puede manejarse eficientemente en un solo sistema.</w:t>
            </w:r>
          </w:p>
        </w:tc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Problemas que requieren grandes cantidades de recursos de cómputo.</w:t>
            </w:r>
          </w:p>
        </w:tc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Escalabilidad y flexibilidad en la gestión de recursos.</w:t>
            </w:r>
          </w:p>
        </w:tc>
      </w:tr>
      <w:tr>
        <w:trPr>
          <w:cantSplit w:val="0"/>
          <w:trHeight w:val="819.82373046875" w:hRule="atLeast"/>
          <w:tblHeader w:val="0"/>
        </w:trPr>
        <w:tc>
          <w:tcPr>
            <w:shd w:fill="d9ead3" w:val="clear"/>
          </w:tcPr>
          <w:p w:rsidR="00000000" w:rsidDel="00000000" w:rsidP="00000000" w:rsidRDefault="00000000" w:rsidRPr="00000000" w14:paraId="0000002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Ventajas</w:t>
            </w:r>
          </w:p>
        </w:tc>
        <w:tc>
          <w:tcPr/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Rendimiento mejorado para tareas específicas.</w:t>
            </w:r>
          </w:p>
        </w:tc>
        <w:tc>
          <w:tcPr/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Mayor confiabilidad, escalabilidad.</w:t>
            </w:r>
          </w:p>
        </w:tc>
        <w:tc>
          <w:tcPr/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Mayor poder de cómputo disponible.</w:t>
            </w:r>
          </w:p>
        </w:tc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Escalabilidad, accesibilidad remota.</w:t>
            </w:r>
          </w:p>
        </w:tc>
      </w:tr>
      <w:tr>
        <w:trPr>
          <w:cantSplit w:val="0"/>
          <w:trHeight w:val="2383.2158203125" w:hRule="atLeast"/>
          <w:tblHeader w:val="0"/>
        </w:trPr>
        <w:tc>
          <w:tcPr>
            <w:shd w:fill="d9ead3" w:val="clear"/>
          </w:tcPr>
          <w:p w:rsidR="00000000" w:rsidDel="00000000" w:rsidP="00000000" w:rsidRDefault="00000000" w:rsidRPr="00000000" w14:paraId="0000002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Desventajas</w:t>
            </w:r>
          </w:p>
        </w:tc>
        <w:tc>
          <w:tcPr/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Mayor complejidad de programación, no todas las aplicaciones se benefician por igual.</w:t>
            </w:r>
          </w:p>
        </w:tc>
        <w:tc>
          <w:tcPr/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Complejidad en la gestión de recursos y comunicación.</w:t>
            </w:r>
          </w:p>
        </w:tc>
        <w:tc>
          <w:tcPr/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Complejidad de implementación y gestión.</w:t>
            </w:r>
          </w:p>
        </w:tc>
        <w:tc>
          <w:tcPr/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Dependencia de la conectividad a internet, preocupaciones de seguridad.</w:t>
            </w:r>
          </w:p>
        </w:tc>
      </w:tr>
    </w:tbl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8" w:type="default"/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Calibri"/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rPr/>
    </w:pPr>
    <w:hyperlink r:id="rId1">
      <w:r w:rsidDel="00000000" w:rsidR="00000000" w:rsidRPr="00000000">
        <w:rPr>
          <w:color w:val="0000ee"/>
          <w:u w:val="single"/>
          <w:shd w:fill="auto" w:val="clear"/>
          <w:rtl w:val="0"/>
        </w:rPr>
        <w:t xml:space="preserve">Néstor Batista Díaz</w:t>
      </w:r>
    </w:hyperlink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Normal" w:default="1">
    <w:name w:val="Normal"/>
    <w:qFormat w:val="1"/>
    <w:rsid w:val="00FC693F"/>
  </w:style>
  <w:style w:type="paragraph" w:styleId="Header">
    <w:name w:val="header"/>
    <w:basedOn w:val="Normal"/>
    <w:link w:val="Head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 w:val="1"/>
    <w:rsid w:val="00FC693F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FC693F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FC693F"/>
    <w:pPr>
      <w:keepNext w:val="1"/>
      <w:keepLines w:val="1"/>
      <w:spacing w:after="0" w:before="200"/>
      <w:outlineLvl w:val="2"/>
    </w:pPr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3"/>
    </w:pPr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4"/>
    </w:pPr>
    <w:rPr>
      <w:rFonts w:asciiTheme="majorHAnsi" w:cstheme="majorBidi" w:eastAsiaTheme="majorEastAsia" w:hAnsiTheme="majorHAnsi"/>
      <w:color w:val="243f60" w:themeColor="accent1" w:themeShade="00007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5"/>
    </w:pPr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7"/>
    </w:pPr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Spacing">
    <w:name w:val="No Spacing"/>
    <w:uiPriority w:val="1"/>
    <w:qFormat w:val="1"/>
    <w:rsid w:val="00FC693F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FC693F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 w:val="1"/>
    <w:rsid w:val="00FC693F"/>
    <w:pPr>
      <w:pBdr>
        <w:bottom w:color="4f81bd" w:space="4" w:sz="8" w:themeColor="accent1" w:val="single"/>
      </w:pBdr>
      <w:spacing w:after="300" w:line="240" w:lineRule="auto"/>
      <w:contextualSpacing w:val="1"/>
    </w:pPr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FC693F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FC693F"/>
    <w:pPr>
      <w:numPr>
        <w:ilvl w:val="1"/>
      </w:numPr>
    </w:pPr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FC693F"/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 w:val="1"/>
    <w:rsid w:val="00FC693F"/>
    <w:pPr>
      <w:ind w:left="720"/>
      <w:contextualSpacing w:val="1"/>
    </w:pPr>
  </w:style>
  <w:style w:type="paragraph" w:styleId="BodyText">
    <w:name w:val="Body Text"/>
    <w:basedOn w:val="Normal"/>
    <w:link w:val="BodyTextChar"/>
    <w:uiPriority w:val="99"/>
    <w:unhideWhenUsed w:val="1"/>
    <w:rsid w:val="00AA1D8D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 w:val="1"/>
    <w:rsid w:val="00AA1D8D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 w:val="1"/>
    <w:rsid w:val="00AA1D8D"/>
    <w:pPr>
      <w:spacing w:after="120"/>
    </w:pPr>
    <w:rPr>
      <w:sz w:val="16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 w:val="1"/>
    <w:rsid w:val="00AA1D8D"/>
    <w:pPr>
      <w:ind w:left="360" w:hanging="360"/>
      <w:contextualSpacing w:val="1"/>
    </w:pPr>
  </w:style>
  <w:style w:type="paragraph" w:styleId="List2">
    <w:name w:val="List 2"/>
    <w:basedOn w:val="Normal"/>
    <w:uiPriority w:val="99"/>
    <w:unhideWhenUsed w:val="1"/>
    <w:rsid w:val="00326F90"/>
    <w:pPr>
      <w:ind w:left="720" w:hanging="360"/>
      <w:contextualSpacing w:val="1"/>
    </w:pPr>
  </w:style>
  <w:style w:type="paragraph" w:styleId="List3">
    <w:name w:val="List 3"/>
    <w:basedOn w:val="Normal"/>
    <w:uiPriority w:val="99"/>
    <w:unhideWhenUsed w:val="1"/>
    <w:rsid w:val="00326F90"/>
    <w:pPr>
      <w:ind w:left="1080" w:hanging="360"/>
      <w:contextualSpacing w:val="1"/>
    </w:pPr>
  </w:style>
  <w:style w:type="paragraph" w:styleId="ListBullet">
    <w:name w:val="List Bullet"/>
    <w:basedOn w:val="Normal"/>
    <w:uiPriority w:val="99"/>
    <w:unhideWhenUsed w:val="1"/>
    <w:rsid w:val="00326F90"/>
    <w:pPr>
      <w:numPr>
        <w:numId w:val="1"/>
      </w:numPr>
      <w:contextualSpacing w:val="1"/>
    </w:pPr>
  </w:style>
  <w:style w:type="paragraph" w:styleId="ListBullet2">
    <w:name w:val="List Bullet 2"/>
    <w:basedOn w:val="Normal"/>
    <w:uiPriority w:val="99"/>
    <w:unhideWhenUsed w:val="1"/>
    <w:rsid w:val="00326F90"/>
    <w:pPr>
      <w:numPr>
        <w:numId w:val="2"/>
      </w:numPr>
      <w:contextualSpacing w:val="1"/>
    </w:pPr>
  </w:style>
  <w:style w:type="paragraph" w:styleId="ListBullet3">
    <w:name w:val="List Bullet 3"/>
    <w:basedOn w:val="Normal"/>
    <w:uiPriority w:val="99"/>
    <w:unhideWhenUsed w:val="1"/>
    <w:rsid w:val="00326F90"/>
    <w:pPr>
      <w:numPr>
        <w:numId w:val="3"/>
      </w:numPr>
      <w:contextualSpacing w:val="1"/>
    </w:pPr>
  </w:style>
  <w:style w:type="paragraph" w:styleId="ListNumber">
    <w:name w:val="List Number"/>
    <w:basedOn w:val="Normal"/>
    <w:uiPriority w:val="99"/>
    <w:unhideWhenUsed w:val="1"/>
    <w:rsid w:val="00326F90"/>
    <w:pPr>
      <w:numPr>
        <w:numId w:val="5"/>
      </w:numPr>
      <w:contextualSpacing w:val="1"/>
    </w:pPr>
  </w:style>
  <w:style w:type="paragraph" w:styleId="ListNumber2">
    <w:name w:val="List Number 2"/>
    <w:basedOn w:val="Normal"/>
    <w:uiPriority w:val="99"/>
    <w:unhideWhenUsed w:val="1"/>
    <w:rsid w:val="0029639D"/>
    <w:pPr>
      <w:numPr>
        <w:numId w:val="6"/>
      </w:numPr>
      <w:contextualSpacing w:val="1"/>
    </w:pPr>
  </w:style>
  <w:style w:type="paragraph" w:styleId="ListNumber3">
    <w:name w:val="List Number 3"/>
    <w:basedOn w:val="Normal"/>
    <w:uiPriority w:val="99"/>
    <w:unhideWhenUsed w:val="1"/>
    <w:rsid w:val="0029639D"/>
    <w:pPr>
      <w:numPr>
        <w:numId w:val="7"/>
      </w:numPr>
      <w:contextualSpacing w:val="1"/>
    </w:pPr>
  </w:style>
  <w:style w:type="paragraph" w:styleId="ListContinue">
    <w:name w:val="List Continue"/>
    <w:basedOn w:val="Normal"/>
    <w:uiPriority w:val="99"/>
    <w:unhideWhenUsed w:val="1"/>
    <w:rsid w:val="0029639D"/>
    <w:pPr>
      <w:spacing w:after="120"/>
      <w:ind w:left="360"/>
      <w:contextualSpacing w:val="1"/>
    </w:pPr>
  </w:style>
  <w:style w:type="paragraph" w:styleId="ListContinue2">
    <w:name w:val="List Continue 2"/>
    <w:basedOn w:val="Normal"/>
    <w:uiPriority w:val="99"/>
    <w:unhideWhenUsed w:val="1"/>
    <w:rsid w:val="0029639D"/>
    <w:pPr>
      <w:spacing w:after="120"/>
      <w:ind w:left="720"/>
      <w:contextualSpacing w:val="1"/>
    </w:pPr>
  </w:style>
  <w:style w:type="paragraph" w:styleId="ListContinue3">
    <w:name w:val="List Continue 3"/>
    <w:basedOn w:val="Normal"/>
    <w:uiPriority w:val="99"/>
    <w:unhideWhenUsed w:val="1"/>
    <w:rsid w:val="0029639D"/>
    <w:pPr>
      <w:spacing w:after="120"/>
      <w:ind w:left="1080"/>
      <w:contextualSpacing w:val="1"/>
    </w:pPr>
  </w:style>
  <w:style w:type="paragraph" w:styleId="MacroText">
    <w:name w:val="macro"/>
    <w:link w:val="MacroTextChar"/>
    <w:uiPriority w:val="99"/>
    <w:unhideWhenUsed w:val="1"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 w:val="1"/>
    <w:rsid w:val="00FC693F"/>
    <w:rPr>
      <w:i w:val="1"/>
      <w:iCs w:val="1"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FC693F"/>
    <w:rPr>
      <w:i w:val="1"/>
      <w:iCs w:val="1"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FC693F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FC693F"/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FC693F"/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paragraph" w:styleId="Caption">
    <w:name w:val="caption"/>
    <w:basedOn w:val="Normal"/>
    <w:next w:val="Normal"/>
    <w:uiPriority w:val="35"/>
    <w:semiHidden w:val="1"/>
    <w:unhideWhenUsed w:val="1"/>
    <w:qFormat w:val="1"/>
    <w:rsid w:val="00FC693F"/>
    <w:pPr>
      <w:spacing w:line="240" w:lineRule="auto"/>
    </w:pPr>
    <w:rPr>
      <w:b w:val="1"/>
      <w:bCs w:val="1"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 w:val="1"/>
    <w:rsid w:val="00FC693F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FC693F"/>
    <w:rPr>
      <w:i w:val="1"/>
      <w:iCs w:val="1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FC693F"/>
    <w:pPr>
      <w:pBdr>
        <w:bottom w:color="4f81bd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4f81b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C693F"/>
    <w:rPr>
      <w:b w:val="1"/>
      <w:bCs w:val="1"/>
      <w:i w:val="1"/>
      <w:iCs w:val="1"/>
      <w:color w:val="4f81bd" w:themeColor="accent1"/>
    </w:rPr>
  </w:style>
  <w:style w:type="character" w:styleId="SubtleEmphasis">
    <w:name w:val="Subtle Emphasis"/>
    <w:basedOn w:val="DefaultParagraphFont"/>
    <w:uiPriority w:val="19"/>
    <w:qFormat w:val="1"/>
    <w:rsid w:val="00FC693F"/>
    <w:rPr>
      <w:i w:val="1"/>
      <w:iCs w:val="1"/>
      <w:color w:val="808080" w:themeColor="text1" w:themeTint="00007F"/>
    </w:rPr>
  </w:style>
  <w:style w:type="character" w:styleId="IntenseEmphasis">
    <w:name w:val="Intense Emphasis"/>
    <w:basedOn w:val="DefaultParagraphFont"/>
    <w:uiPriority w:val="21"/>
    <w:qFormat w:val="1"/>
    <w:rsid w:val="00FC693F"/>
    <w:rPr>
      <w:b w:val="1"/>
      <w:bCs w:val="1"/>
      <w:i w:val="1"/>
      <w:iCs w:val="1"/>
      <w:color w:val="4f81bd" w:themeColor="accent1"/>
    </w:rPr>
  </w:style>
  <w:style w:type="character" w:styleId="SubtleReference">
    <w:name w:val="Subtle Reference"/>
    <w:basedOn w:val="DefaultParagraphFont"/>
    <w:uiPriority w:val="31"/>
    <w:qFormat w:val="1"/>
    <w:rsid w:val="00FC693F"/>
    <w:rPr>
      <w:smallCaps w:val="1"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1"/>
    <w:rsid w:val="00FC693F"/>
    <w:rPr>
      <w:b w:val="1"/>
      <w:bCs w:val="1"/>
      <w:smallCaps w:val="1"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1"/>
    <w:rsid w:val="00FC693F"/>
    <w:rPr>
      <w:b w:val="1"/>
      <w:bCs w:val="1"/>
      <w:smallCaps w:val="1"/>
      <w:spacing w:val="5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Ind w:w="0.0" w:type="dxa"/>
      <w:tblBorders>
        <w:top w:color="000000" w:space="0" w:sz="8" w:themeColor="text1" w:val="single"/>
        <w:bottom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0000BF"/>
    </w:rPr>
    <w:tblPr>
      <w:tblStyleRowBandSize w:val="1"/>
      <w:tblStyleColBandSize w:val="1"/>
      <w:tblInd w:w="0.0" w:type="dxa"/>
      <w:tblBorders>
        <w:top w:color="4f81bd" w:space="0" w:sz="8" w:themeColor="accent1" w:val="single"/>
        <w:bottom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0000BF"/>
    </w:rPr>
    <w:tblPr>
      <w:tblStyleRowBandSize w:val="1"/>
      <w:tblStyleColBandSize w:val="1"/>
      <w:tblInd w:w="0.0" w:type="dxa"/>
      <w:tblBorders>
        <w:top w:color="c0504d" w:space="0" w:sz="8" w:themeColor="accent2" w:val="single"/>
        <w:bottom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0000BF"/>
    </w:rPr>
    <w:tblPr>
      <w:tblStyleRowBandSize w:val="1"/>
      <w:tblStyleColBandSize w:val="1"/>
      <w:tblInd w:w="0.0" w:type="dxa"/>
      <w:tblBorders>
        <w:top w:color="9bbb59" w:space="0" w:sz="8" w:themeColor="accent3" w:val="single"/>
        <w:bottom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0000BF"/>
    </w:rPr>
    <w:tblPr>
      <w:tblStyleRowBandSize w:val="1"/>
      <w:tblStyleColBandSize w:val="1"/>
      <w:tblInd w:w="0.0" w:type="dxa"/>
      <w:tblBorders>
        <w:top w:color="8064a2" w:space="0" w:sz="8" w:themeColor="accent4" w:val="single"/>
        <w:bottom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0000BF"/>
    </w:rPr>
    <w:tblPr>
      <w:tblStyleRowBandSize w:val="1"/>
      <w:tblStyleColBandSize w:val="1"/>
      <w:tblInd w:w="0.0" w:type="dxa"/>
      <w:tblBorders>
        <w:top w:color="4bacc6" w:space="0" w:sz="8" w:themeColor="accent5" w:val="single"/>
        <w:bottom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0000BF"/>
    </w:rPr>
    <w:tblPr>
      <w:tblStyleRowBandSize w:val="1"/>
      <w:tblStyleColBandSize w:val="1"/>
      <w:tblInd w:w="0.0" w:type="dxa"/>
      <w:tblBorders>
        <w:top w:color="f79646" w:space="0" w:sz="8" w:themeColor="accent6" w:val="single"/>
        <w:bottom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1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  <w:shd w:color="auto" w:fill="efd3d2" w:themeFill="accent2" w:themeFillTint="00003F" w:val="clear"/>
      </w:tcPr>
    </w:tblStylePr>
    <w:tblStylePr w:type="band2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1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  <w:shd w:color="auto" w:fill="e6eed5" w:themeFill="accent3" w:themeFillTint="00003F" w:val="clear"/>
      </w:tcPr>
    </w:tblStylePr>
    <w:tblStylePr w:type="band2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1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  <w:shd w:color="auto" w:fill="dfd8e8" w:themeFill="accent4" w:themeFillTint="00003F" w:val="clear"/>
      </w:tcPr>
    </w:tblStylePr>
    <w:tblStylePr w:type="band2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1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  <w:shd w:color="auto" w:fill="fde4d0" w:themeFill="accent6" w:themeFillTint="00003F" w:val="clear"/>
      </w:tcPr>
    </w:tblStylePr>
    <w:tblStylePr w:type="band2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ba0cd" w:space="0" w:sz="8" w:themeColor="accent1" w:themeTint="0000BF" w:val="sing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0cd" w:space="0" w:sz="6" w:themeColor="accent1" w:themeTint="0000BF" w:val="doub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cf7b79" w:space="0" w:sz="8" w:themeColor="accent2" w:themeTint="0000BF" w:val="sing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themeColor="accent2" w:themeTint="0000BF" w:val="doub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3cc82" w:space="0" w:sz="8" w:themeColor="accent3" w:themeTint="0000BF" w:val="sing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3cc82" w:space="0" w:sz="6" w:themeColor="accent3" w:themeTint="0000BF" w:val="doub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f8ab9" w:space="0" w:sz="8" w:themeColor="accent4" w:themeTint="0000BF" w:val="sing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f8ab9" w:space="0" w:sz="6" w:themeColor="accent4" w:themeTint="0000BF" w:val="doub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9b074" w:space="0" w:sz="8" w:themeColor="accent6" w:themeTint="0000BF" w:val="sing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9b074" w:space="0" w:sz="6" w:themeColor="accent6" w:themeTint="0000BF" w:val="doub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bottom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bottom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f81bd" w:space="0" w:sz="8" w:themeColor="accen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shd w:color="auto" w:fill="d3dfee" w:themeFill="accent1" w:themeFillTint="00003F" w:val="clear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bottom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c0504d" w:space="0" w:sz="8" w:themeColor="accent2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shd w:color="auto" w:fill="efd3d2" w:themeFill="accent2" w:themeFillTint="00003F" w:val="clear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bottom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9bbb59" w:space="0" w:sz="8" w:themeColor="accent3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shd w:color="auto" w:fill="e6eed5" w:themeFill="accent3" w:themeFillTint="00003F" w:val="clear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bottom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8064a2" w:space="0" w:sz="8" w:themeColor="accent4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shd w:color="auto" w:fill="dfd8e8" w:themeFill="accent4" w:themeFillTint="00003F" w:val="clear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bottom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bacc6" w:space="0" w:sz="8" w:themeColor="accent5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shd w:color="auto" w:fill="d2eaf1" w:themeFill="accent5" w:themeFillTint="00003F" w:val="clear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bottom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79646" w:space="0" w:sz="8" w:themeColor="accent6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shd w:color="auto" w:fill="fde4d0" w:themeFill="accent6" w:themeFillTint="00003F" w:val="clear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000000" w:space="0" w:sz="8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f81bd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f81bd" w:space="0" w:sz="8" w:themeColor="accen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f81bd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f81bd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c0504d" w:space="0" w:sz="8" w:themeColor="accent2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c0504d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c0504d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9bbb59" w:space="0" w:sz="8" w:themeColor="accent3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9bbb59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9bbb59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8064a2" w:space="0" w:sz="8" w:themeColor="accent4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8064a2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8064a2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bacc6" w:space="0" w:sz="8" w:themeColor="accent5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bacc6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bacc6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f79646" w:space="0" w:sz="8" w:themeColor="accent6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79646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79646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  <w:insideV w:color="7ba0cd" w:space="0" w:sz="8" w:themeColor="accen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ba0cd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  <w:insideV w:color="cf7b79" w:space="0" w:sz="8" w:themeColor="accent2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cf7b79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  <w:insideV w:color="b3cc82" w:space="0" w:sz="8" w:themeColor="accent3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3cc82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  <w:insideV w:color="9f8ab9" w:space="0" w:sz="8" w:themeColor="accent4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f8ab9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  <w:insideV w:color="78c0d4" w:space="0" w:sz="8" w:themeColor="accent5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8c0d4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  <w:insideV w:color="f9b074" w:space="0" w:sz="8" w:themeColor="accent6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9b074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2f8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5f1" w:themeFill="accent1" w:themeFillTint="000033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tcBorders>
          <w:insideH w:color="4f81bd" w:space="0" w:sz="6" w:themeColor="accent1" w:val="single"/>
          <w:insideV w:color="4f81bd" w:space="0" w:sz="6" w:themeColor="accent1" w:val="single"/>
        </w:tcBorders>
        <w:shd w:color="auto" w:fill="a7bfde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8eded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2dbdb" w:themeFill="accent2" w:themeFillTint="000033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tcBorders>
          <w:insideH w:color="c0504d" w:space="0" w:sz="6" w:themeColor="accent2" w:val="single"/>
          <w:insideV w:color="c0504d" w:space="0" w:sz="6" w:themeColor="accent2" w:val="single"/>
        </w:tcBorders>
        <w:shd w:color="auto" w:fill="dfa7a6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5f8ee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af1dd" w:themeFill="accent3" w:themeFillTint="000033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tcBorders>
          <w:insideH w:color="9bbb59" w:space="0" w:sz="6" w:themeColor="accent3" w:val="single"/>
          <w:insideV w:color="9bbb59" w:space="0" w:sz="6" w:themeColor="accent3" w:val="single"/>
        </w:tcBorders>
        <w:shd w:color="auto" w:fill="cdddac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2eff6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5dfec" w:themeFill="accent4" w:themeFillTint="000033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tcBorders>
          <w:insideH w:color="8064a2" w:space="0" w:sz="6" w:themeColor="accent4" w:val="single"/>
          <w:insideV w:color="8064a2" w:space="0" w:sz="6" w:themeColor="accent4" w:val="single"/>
        </w:tcBorders>
        <w:shd w:color="auto" w:fill="bfb1d0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6f9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aeef3" w:themeFill="accent5" w:themeFillTint="000033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tcBorders>
          <w:insideH w:color="4bacc6" w:space="0" w:sz="6" w:themeColor="accent5" w:val="single"/>
          <w:insideV w:color="4bacc6" w:space="0" w:sz="6" w:themeColor="accent5" w:val="single"/>
        </w:tcBorders>
        <w:shd w:color="auto" w:fill="a5d5e2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ef4ec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9d9" w:themeFill="accent6" w:themeFillTint="000033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tcBorders>
          <w:insideH w:color="f79646" w:space="0" w:sz="6" w:themeColor="accent6" w:val="single"/>
          <w:insideV w:color="f79646" w:space="0" w:sz="6" w:themeColor="accent6" w:val="single"/>
        </w:tcBorders>
        <w:shd w:color="auto" w:fill="fbcaa2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7bfde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7bfde" w:themeFill="accent1" w:themeFillTint="00007F" w:val="clear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dfa7a6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dfa7a6" w:themeFill="accent2" w:themeFillTint="00007F" w:val="clear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cdddac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cdddac" w:themeFill="accent3" w:themeFillTint="00007F" w:val="clear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fb1d0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fb1d0" w:themeFill="accent4" w:themeFillTint="00007F" w:val="clear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5d5e2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5d5e2" w:themeFill="accent5" w:themeFillTint="00007F" w:val="clear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bcaa2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bcaa2" w:themeFill="accent6" w:themeFillTint="00007F" w:val="clear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4f81bd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43f60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504d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22423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9bbb59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e6128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8064a2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f3151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4bacc6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05867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79646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74706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4f81bd" w:space="0" w:sz="4" w:themeColor="accent1" w:val="single"/>
        <w:bottom w:color="4f81bd" w:space="0" w:sz="4" w:themeColor="accent1" w:val="single"/>
        <w:right w:color="4f81bd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2f8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c4c74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c4c74" w:space="0" w:sz="4" w:themeColor="accent1" w:themeShade="000099" w:val="single"/>
          <w:insideV w:space="0" w:sz="0" w:val="nil"/>
        </w:tcBorders>
        <w:shd w:color="auto" w:fill="2c4c74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c4c74" w:themeFill="accent1" w:themeFillShade="000099" w:val="clear"/>
      </w:tcPr>
    </w:tblStylePr>
    <w:tblStylePr w:type="band1Vert">
      <w:tblPr/>
      <w:tcPr>
        <w:shd w:color="auto" w:fill="b8cce4" w:themeFill="accent1" w:themeFillTint="000066" w:val="clear"/>
      </w:tcPr>
    </w:tblStylePr>
    <w:tblStylePr w:type="band1Horz">
      <w:tblPr/>
      <w:tcPr>
        <w:shd w:color="auto" w:fill="a7bfde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c0504d" w:space="0" w:sz="4" w:themeColor="accent2" w:val="single"/>
        <w:bottom w:color="c0504d" w:space="0" w:sz="4" w:themeColor="accent2" w:val="single"/>
        <w:right w:color="c0504d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8eded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772c2a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772c2a" w:space="0" w:sz="4" w:themeColor="accent2" w:themeShade="000099" w:val="single"/>
          <w:insideV w:space="0" w:sz="0" w:val="nil"/>
        </w:tcBorders>
        <w:shd w:color="auto" w:fill="772c2a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72c2a" w:themeFill="accent2" w:themeFillShade="000099" w:val="clear"/>
      </w:tcPr>
    </w:tblStylePr>
    <w:tblStylePr w:type="band1Vert">
      <w:tblPr/>
      <w:tcPr>
        <w:shd w:color="auto" w:fill="e5b8b7" w:themeFill="accent2" w:themeFillTint="000066" w:val="clear"/>
      </w:tcPr>
    </w:tblStylePr>
    <w:tblStylePr w:type="band1Horz">
      <w:tblPr/>
      <w:tcPr>
        <w:shd w:color="auto" w:fill="dfa7a6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8064a2" w:space="0" w:sz="24" w:themeColor="accent4" w:val="single"/>
        <w:left w:color="9bbb59" w:space="0" w:sz="4" w:themeColor="accent3" w:val="single"/>
        <w:bottom w:color="9bbb59" w:space="0" w:sz="4" w:themeColor="accent3" w:val="single"/>
        <w:right w:color="9bbb59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5f8ee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5e7530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5e7530" w:space="0" w:sz="4" w:themeColor="accent3" w:themeShade="000099" w:val="single"/>
          <w:insideV w:space="0" w:sz="0" w:val="nil"/>
        </w:tcBorders>
        <w:shd w:color="auto" w:fill="5e7530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e7530" w:themeFill="accent3" w:themeFillShade="000099" w:val="clear"/>
      </w:tcPr>
    </w:tblStylePr>
    <w:tblStylePr w:type="band1Vert">
      <w:tblPr/>
      <w:tcPr>
        <w:shd w:color="auto" w:fill="d6e3bc" w:themeFill="accent3" w:themeFillTint="000066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9bbb59" w:space="0" w:sz="24" w:themeColor="accent3" w:val="single"/>
        <w:left w:color="8064a2" w:space="0" w:sz="4" w:themeColor="accent4" w:val="single"/>
        <w:bottom w:color="8064a2" w:space="0" w:sz="4" w:themeColor="accent4" w:val="single"/>
        <w:right w:color="8064a2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eff6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4c3b62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4c3b62" w:space="0" w:sz="4" w:themeColor="accent4" w:themeShade="000099" w:val="single"/>
          <w:insideV w:space="0" w:sz="0" w:val="nil"/>
        </w:tcBorders>
        <w:shd w:color="auto" w:fill="4c3b62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c3b62" w:themeFill="accent4" w:themeFillShade="000099" w:val="clear"/>
      </w:tcPr>
    </w:tblStylePr>
    <w:tblStylePr w:type="band1Vert">
      <w:tblPr/>
      <w:tcPr>
        <w:shd w:color="auto" w:fill="ccc0d9" w:themeFill="accent4" w:themeFillTint="000066" w:val="clear"/>
      </w:tcPr>
    </w:tblStylePr>
    <w:tblStylePr w:type="band1Horz">
      <w:tblPr/>
      <w:tcPr>
        <w:shd w:color="auto" w:fill="bfb1d0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f79646" w:space="0" w:sz="24" w:themeColor="accent6" w:val="single"/>
        <w:left w:color="4bacc6" w:space="0" w:sz="4" w:themeColor="accent5" w:val="single"/>
        <w:bottom w:color="4bacc6" w:space="0" w:sz="4" w:themeColor="accent5" w:val="single"/>
        <w:right w:color="4bacc6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6f9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76a7c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76a7c" w:space="0" w:sz="4" w:themeColor="accent5" w:themeShade="000099" w:val="single"/>
          <w:insideV w:space="0" w:sz="0" w:val="nil"/>
        </w:tcBorders>
        <w:shd w:color="auto" w:fill="276a7c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76a7c" w:themeFill="accent5" w:themeFillShade="000099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a5d5e2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bacc6" w:space="0" w:sz="24" w:themeColor="accent5" w:val="single"/>
        <w:left w:color="f79646" w:space="0" w:sz="4" w:themeColor="accent6" w:val="single"/>
        <w:bottom w:color="f79646" w:space="0" w:sz="4" w:themeColor="accent6" w:val="single"/>
        <w:right w:color="f79646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ef4ec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b65608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b65608" w:space="0" w:sz="4" w:themeColor="accent6" w:themeShade="000099" w:val="single"/>
          <w:insideV w:space="0" w:sz="0" w:val="nil"/>
        </w:tcBorders>
        <w:shd w:color="auto" w:fill="b65608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65608" w:themeFill="accent6" w:themeFillShade="000099" w:val="clear"/>
      </w:tcPr>
    </w:tblStylePr>
    <w:tblStylePr w:type="band1Vert">
      <w:tblPr/>
      <w:tcPr>
        <w:shd w:color="auto" w:fill="fbd4b4" w:themeFill="accent6" w:themeFillTint="000066" w:val="clear"/>
      </w:tcPr>
    </w:tblStylePr>
    <w:tblStylePr w:type="band1Horz">
      <w:tblPr/>
      <w:tcPr>
        <w:shd w:color="auto" w:fill="fbcaa2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2f8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8eded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5f8ee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664e82" w:themeFill="accent4" w:themeFillShade="0000CC" w:val="clear"/>
      </w:tcPr>
    </w:tblStylePr>
    <w:tblStylePr w:type="lastRow">
      <w:rPr>
        <w:b w:val="1"/>
        <w:bCs w:val="1"/>
        <w:color w:val="664e82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eff6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7e9c40" w:themeFill="accent3" w:themeFillShade="0000CC" w:val="clear"/>
      </w:tcPr>
    </w:tblStylePr>
    <w:tblStylePr w:type="lastRow">
      <w:rPr>
        <w:b w:val="1"/>
        <w:bCs w:val="1"/>
        <w:color w:val="7e9c40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6f9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f2730a" w:themeFill="accent6" w:themeFillShade="0000CC" w:val="clear"/>
      </w:tcPr>
    </w:tblStylePr>
    <w:tblStylePr w:type="lastRow">
      <w:rPr>
        <w:b w:val="1"/>
        <w:bCs w:val="1"/>
        <w:color w:val="f2730a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ef4e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348da5" w:themeFill="accent5" w:themeFillShade="0000CC" w:val="clear"/>
      </w:tcPr>
    </w:tblStylePr>
    <w:tblStylePr w:type="lastRow">
      <w:rPr>
        <w:b w:val="1"/>
        <w:bCs w:val="1"/>
        <w:color w:val="348da5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be5f1" w:themeFill="accent1" w:themeFillTint="000033" w:val="clear"/>
    </w:tcPr>
    <w:tblStylePr w:type="firstRow">
      <w:rPr>
        <w:b w:val="1"/>
        <w:bCs w:val="1"/>
      </w:rPr>
      <w:tblPr/>
      <w:tcPr>
        <w:shd w:color="auto" w:fill="b8cce4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8cce4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dbdb" w:themeFill="accent2" w:themeFillTint="000033" w:val="clear"/>
    </w:tcPr>
    <w:tblStylePr w:type="firstRow">
      <w:rPr>
        <w:b w:val="1"/>
        <w:bCs w:val="1"/>
      </w:rPr>
      <w:tblPr/>
      <w:tcPr>
        <w:shd w:color="auto" w:fill="e5b8b7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e5b8b7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af1dd" w:themeFill="accent3" w:themeFillTint="000033" w:val="clear"/>
    </w:tcPr>
    <w:tblStylePr w:type="firstRow">
      <w:rPr>
        <w:b w:val="1"/>
        <w:bCs w:val="1"/>
      </w:rPr>
      <w:tblPr/>
      <w:tcPr>
        <w:shd w:color="auto" w:fill="d6e3bc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6e3bc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5dfec" w:themeFill="accent4" w:themeFillTint="000033" w:val="clear"/>
    </w:tcPr>
    <w:tblStylePr w:type="firstRow">
      <w:rPr>
        <w:b w:val="1"/>
        <w:bCs w:val="1"/>
      </w:rPr>
      <w:tblPr/>
      <w:tcPr>
        <w:shd w:color="auto" w:fill="ccc0d9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cc0d9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aeef3" w:themeFill="accent5" w:themeFillTint="000033" w:val="clear"/>
    </w:tcPr>
    <w:tblStylePr w:type="firstRow">
      <w:rPr>
        <w:b w:val="1"/>
        <w:bCs w:val="1"/>
      </w:rPr>
      <w:tblPr/>
      <w:tcPr>
        <w:shd w:color="auto" w:fill="b6dde8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6dde8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9d9" w:themeFill="accent6" w:themeFillTint="000033" w:val="clear"/>
    </w:tcPr>
    <w:tblStylePr w:type="firstRow">
      <w:rPr>
        <w:b w:val="1"/>
        <w:bCs w:val="1"/>
      </w:rPr>
      <w:tblPr/>
      <w:tcPr>
        <w:shd w:color="auto" w:fill="fbd4b4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bd4b4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mailto:nestorbatista@arucasfotografo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AuLr3ZyteH9UoqHYHYnMD9YQ8RA==">CgMxLjAyDmguNXIwcXBhNjBpNGNoOAByITFDUVRKdXBuakxvbzNlZzBSb05MMkZxVW02ZnpzRldHdQ==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</cp:coreProperties>
</file>