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648A" w14:textId="77777777" w:rsidR="00131994" w:rsidRDefault="00131994" w:rsidP="00131994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t>6 Охрана труда</w:t>
      </w:r>
    </w:p>
    <w:p w14:paraId="6307F49F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6.1 О</w:t>
      </w:r>
      <w:r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43406695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AC2E69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Общественные преобразования, технологический прогресс и высокие темпы производства стремительно меняют условия труда, его процесс и организацию.</w:t>
      </w:r>
    </w:p>
    <w:p w14:paraId="207D222D" w14:textId="15E7E990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Охрана труда – это система обеспечения безопасности жизни и здоровья работников в процессе трудовой деятельности, включающая</w:t>
      </w:r>
      <w:r w:rsidR="009368D4">
        <w:rPr>
          <w:rFonts w:ascii="Times New Roman" w:hAnsi="Times New Roman"/>
          <w:color w:val="000000" w:themeColor="text1"/>
          <w:sz w:val="28"/>
          <w:szCs w:val="28"/>
        </w:rPr>
        <w:t xml:space="preserve"> лечебно-профилактические,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правовые, социально-экономические, </w:t>
      </w:r>
      <w:r w:rsidR="00E630D5">
        <w:rPr>
          <w:rFonts w:ascii="Times New Roman" w:hAnsi="Times New Roman"/>
          <w:color w:val="000000" w:themeColor="text1"/>
          <w:sz w:val="28"/>
          <w:szCs w:val="28"/>
        </w:rPr>
        <w:t xml:space="preserve">санитарно-гигиенические, технические,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организационные, психофизиологические, реабилитационные и иные мероприятия и средства. </w:t>
      </w:r>
      <w:r>
        <w:rPr>
          <w:rFonts w:ascii="Times New Roman" w:hAnsi="Times New Roman"/>
          <w:sz w:val="28"/>
          <w:szCs w:val="28"/>
        </w:rPr>
        <w:t xml:space="preserve">Защита работающих от связанных с производством недомоганий, болезней и травм в настоящее время стала одной из серьезнейших социально-экономических проблем в мире. </w:t>
      </w:r>
    </w:p>
    <w:p w14:paraId="7B94DC61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благоприятных и безопасных условий труда, совершенствования и гуманизации трудового процесса на практике используют методы и средства многих дисциплин и научных направлений (инженерно-технических и биологических наук, эргономики и инженерной психологии, физиологии и психологии труда, психологии безопасности, физико-химических методов и др.).</w:t>
      </w:r>
    </w:p>
    <w:p w14:paraId="18D772BF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Опасные и вредные производственные факторы способны оказать пагубное влияние на здоровье работника и его трудоспособность. </w:t>
      </w:r>
      <w:r>
        <w:rPr>
          <w:rFonts w:ascii="Times New Roman" w:hAnsi="Times New Roman"/>
          <w:sz w:val="28"/>
          <w:szCs w:val="28"/>
        </w:rPr>
        <w:t>Неудовлетворительные условия труда приводят к тому, что часть работников вынуждена раньше общеустановленного пенсионного возраста заканчивать свою трудовую деятельность. Создание здоровых и безопасных условий труда является одной из самых главных задач.</w:t>
      </w:r>
    </w:p>
    <w:p w14:paraId="1C59C675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Вредный производственный фактор – фактор среды и трудового процесса, воздействие которого на работающего при определенных условиях (интенсивность, длительность и др.) может вызвать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профессиональное заболевание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другое нарушение состояния здоровья, временное или стойкое снижение работоспособности, привести к повреждению здоровья потомства. </w:t>
      </w:r>
    </w:p>
    <w:p w14:paraId="3B1F2B67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Опасный производственный фактор – производственный фактор, воздействие которого на работающего в определенных условиях может привести к травме, внезапному резкому ухудшению здоровья или смертельному исходу.</w:t>
      </w:r>
    </w:p>
    <w:p w14:paraId="35D0F166" w14:textId="77777777" w:rsidR="00131994" w:rsidRDefault="00131994" w:rsidP="001319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Вредный производственный фактор может стать опасным в зависимости от уровня и продолжительности воздействия на человека.</w:t>
      </w:r>
    </w:p>
    <w:p w14:paraId="2BC9ADDF" w14:textId="36D65EEC" w:rsidR="00131994" w:rsidRDefault="00131994" w:rsidP="001319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</w:t>
      </w:r>
      <w:r w:rsidR="00223CF8">
        <w:rPr>
          <w:rFonts w:ascii="Times New Roman" w:hAnsi="Times New Roman"/>
          <w:color w:val="000000" w:themeColor="text1"/>
          <w:sz w:val="28"/>
          <w:szCs w:val="28"/>
        </w:rPr>
        <w:t>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ПЭВМ и </w:t>
      </w:r>
      <w:r w:rsidR="00223CF8">
        <w:rPr>
          <w:rFonts w:ascii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другой офисной техник</w:t>
      </w:r>
      <w:r w:rsidR="00223CF8">
        <w:rPr>
          <w:rFonts w:ascii="Times New Roman" w:hAnsi="Times New Roman"/>
          <w:color w:val="000000" w:themeColor="text1"/>
          <w:sz w:val="28"/>
          <w:szCs w:val="28"/>
        </w:rPr>
        <w:t>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работающие при определенных условиях могут подвергаться воздействию различных опасных и вредных производственных факторов, основными из которых являются:</w:t>
      </w:r>
    </w:p>
    <w:p w14:paraId="7320195A" w14:textId="601FAF69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физические: повышенные уровни рентгеновского излучения, повышенные уровни ультрафиолетового излучения, повышенные уровни инфракрасного излучения,</w:t>
      </w:r>
      <w:r w:rsidR="008F04EF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повышенный уровни электромагнитного излучения,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уровни статического электричества, повышенные уровни запыленности воздуха рабочей зоны,</w:t>
      </w:r>
      <w:r w:rsidR="00B63F66">
        <w:rPr>
          <w:rFonts w:ascii="Times New Roman" w:hAnsi="Times New Roman"/>
          <w:color w:val="000000" w:themeColor="text1"/>
          <w:sz w:val="28"/>
          <w:szCs w:val="28"/>
        </w:rPr>
        <w:t xml:space="preserve"> пониженная ионизация воздуха,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повышенное содержание положительных аэроионов в воздухе рабочей зоны</w:t>
      </w:r>
      <w:r w:rsidR="00B63F66">
        <w:rPr>
          <w:rFonts w:ascii="Times New Roman" w:hAnsi="Times New Roman"/>
          <w:color w:val="000000" w:themeColor="text1"/>
          <w:sz w:val="28"/>
          <w:szCs w:val="28"/>
        </w:rPr>
        <w:t xml:space="preserve"> статические физические перегрузки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31798DA1" w14:textId="77777777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химические: повышенное содержание в воздухе рабочей зоны окиси углерода, озона, аммиака, фенола, формальдегида и полихлорированных фенилов,</w:t>
      </w:r>
    </w:p>
    <w:p w14:paraId="1F3B1DC0" w14:textId="77777777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биологические: повышенное содержание в воздухе рабочей зоны микроорганизмов,</w:t>
      </w:r>
    </w:p>
    <w:p w14:paraId="3CEE47A6" w14:textId="17C00C07" w:rsidR="00223CF8" w:rsidRPr="00223CF8" w:rsidRDefault="00131994" w:rsidP="00223CF8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психофизиологические: напряжение зрения, напряжение памяти, напряжение внимания, длительное статическое напряжение, большой объем информации, обрабатываемой в единицу времени,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нерациональная организация рабочего времени.</w:t>
      </w:r>
    </w:p>
    <w:p w14:paraId="70A9BD50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6.2 </w:t>
      </w:r>
      <w:r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3AD0A1D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p w14:paraId="70DDB801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Рабочее место – это пространственная зона, оснащенная необходимыми техническими средствами (основным и вспомогательным оборудованием, технологической и организационной оснасткой, средствами обеспечения благоприятных условий труда), в которой совершается трудовая деятельность программиста или группы программистов, совместно выполняющих производственное задание. </w:t>
      </w:r>
    </w:p>
    <w:p w14:paraId="04E8E4B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Требования техники безопасности при работе за компьютером – это обязательные правила, позволяющие минимизировать вредное воздействие офисного оборудования на здоровье и работоспособность сотрудников.</w:t>
      </w:r>
    </w:p>
    <w:p w14:paraId="759B1F1D" w14:textId="77777777" w:rsidR="00131994" w:rsidRPr="00414591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Style w:val="ac"/>
          <w:rFonts w:eastAsia="Calibri"/>
          <w:b w:val="0"/>
          <w:bCs w:val="0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Помещения для эксплуатации компьютеров должны иметь естественное и искусственное освещение. </w:t>
      </w:r>
      <w:r w:rsidRPr="00414591">
        <w:rPr>
          <w:rStyle w:val="ac"/>
          <w:rFonts w:ascii="Times New Roman" w:eastAsiaTheme="majorEastAsia" w:hAnsi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Запрещается выполнение основной работы с использованием компьютеров на постоянных рабочих местах без естественного освещения, если это не обусловлено технологическим процессом.</w:t>
      </w:r>
    </w:p>
    <w:p w14:paraId="5B05852F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 м</w:t>
      </w:r>
      <w:r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, объем – не менее 20 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7DD33A68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2B749BEC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>потолка: 0,7 – 0,8 (белый, слоновая кость),</w:t>
      </w:r>
    </w:p>
    <w:p w14:paraId="338E7531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стен: </w:t>
      </w:r>
      <w:r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0,5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– 0,6 (голубой, салатовый, бежевый, светло-серый),</w:t>
      </w:r>
    </w:p>
    <w:p w14:paraId="7B32A513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пола: 0,3 – </w:t>
      </w:r>
      <w:r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60F3C6A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накапливающие статическое электричество, запрещены.</w:t>
      </w:r>
    </w:p>
    <w:p w14:paraId="03190582" w14:textId="77777777" w:rsidR="00131994" w:rsidRDefault="00131994" w:rsidP="0013199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71F503F8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Чижевского),</w:t>
      </w:r>
    </w:p>
    <w:p w14:paraId="5FA646B1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воздуха,</w:t>
      </w:r>
    </w:p>
    <w:p w14:paraId="08F2DFFA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уменьшение тепловыделений от мониторов компьютеров,</w:t>
      </w:r>
    </w:p>
    <w:p w14:paraId="68872DF8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24FB6D1F" w14:textId="77777777" w:rsidR="00131994" w:rsidRDefault="00131994" w:rsidP="00131994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</w:p>
    <w:p w14:paraId="5C95F28F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Экран видеомонитора должен находиться от глаз пользователя на оптимальном расстоянии 0,6 – 0,7 м, но не ближе,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при отсутствии такой возможности высота рабочей поверхности стола должна составлять 0,725 м.</w:t>
      </w:r>
    </w:p>
    <w:p w14:paraId="7F874FE8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Клавиатуру следует располагать на поверхности стола на расстоянии 0,1 – 0,3 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14:paraId="05117012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09050E87" w14:textId="77777777" w:rsidR="00131994" w:rsidRDefault="00131994" w:rsidP="00854E39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градусов. Поверхность подставки должна быть рифленой и иметь по переднему краю </w:t>
      </w:r>
      <w:r>
        <w:rPr>
          <w:color w:val="000000" w:themeColor="text1"/>
          <w:sz w:val="28"/>
          <w:szCs w:val="28"/>
        </w:rPr>
        <w:lastRenderedPageBreak/>
        <w:t>бортик высотой 0,01 м.</w:t>
      </w:r>
    </w:p>
    <w:p w14:paraId="220AF60F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освещенности на поверхности рабочего стола составляет 300 – 500 </w:t>
      </w:r>
      <w:proofErr w:type="spellStart"/>
      <w:r>
        <w:rPr>
          <w:color w:val="000000" w:themeColor="text1"/>
          <w:sz w:val="28"/>
          <w:szCs w:val="28"/>
        </w:rPr>
        <w:t>лк</w:t>
      </w:r>
      <w:proofErr w:type="spellEnd"/>
      <w:r>
        <w:rPr>
          <w:color w:val="000000" w:themeColor="text1"/>
          <w:sz w:val="28"/>
          <w:szCs w:val="28"/>
        </w:rPr>
        <w:t xml:space="preserve"> (люкс) [22].</w:t>
      </w:r>
    </w:p>
    <w:p w14:paraId="6AB0EFF4" w14:textId="77777777" w:rsidR="00E87DB7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выполнении работы с ПЭВМ работающий обязан: </w:t>
      </w:r>
    </w:p>
    <w:p w14:paraId="2A56664F" w14:textId="77777777" w:rsidR="00E87DB7" w:rsidRPr="00E87DB7" w:rsidRDefault="00131994" w:rsidP="00E87DB7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выполнять только ту работу, которая ему поручена, а также содержать в порядке и чистоте свое рабочее место</w:t>
      </w:r>
      <w:r w:rsidR="00E87DB7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4ABB85E6" w14:textId="77777777" w:rsidR="00E87DB7" w:rsidRPr="00E87DB7" w:rsidRDefault="00131994" w:rsidP="00E87DB7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держать открытыми вентиляционные отверстия оборудования; соблюдать оптимальное расстояние от экрана видеомонитора до глаз</w:t>
      </w:r>
      <w:r w:rsidR="00E87DB7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3B7E6F30" w14:textId="77777777" w:rsidR="00E87DB7" w:rsidRPr="00E87DB7" w:rsidRDefault="00131994" w:rsidP="00E87DB7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</w:t>
      </w:r>
      <w:r w:rsidR="00E87DB7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198E6CF3" w14:textId="102D78C2" w:rsidR="00131994" w:rsidRDefault="00131994" w:rsidP="00E87DB7">
      <w:pPr>
        <w:pStyle w:val="aa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осуществлять систематическое проветривание помещения после каждого часа работы с ПЭВМ. </w:t>
      </w:r>
    </w:p>
    <w:p w14:paraId="07F67568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оборудования. </w:t>
      </w:r>
    </w:p>
    <w:p w14:paraId="1502C311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 окончании работы работник обязан:</w:t>
      </w:r>
    </w:p>
    <w:p w14:paraId="26022411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корректно закрыть все активные задачи,</w:t>
      </w:r>
    </w:p>
    <w:p w14:paraId="3B2E5F31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при использовании запоминающих устройств (дисков и др.) извлечь их,</w:t>
      </w:r>
    </w:p>
    <w:p w14:paraId="7D06AB6C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выключить питание системного блока,</w:t>
      </w:r>
    </w:p>
    <w:p w14:paraId="03EB3929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отключить блок бесперебойного питания,</w:t>
      </w:r>
    </w:p>
    <w:p w14:paraId="71FC9529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отключить стабилизатор напряжения (если он используется),</w:t>
      </w:r>
    </w:p>
    <w:p w14:paraId="01F339BD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осмотреть и привести в порядок рабочее место,</w:t>
      </w:r>
    </w:p>
    <w:p w14:paraId="6AFAB43D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 неисправности оборудования и других замечаниях по работе с ПК сообщить непосредственному руководителю или лицам, осуществляющим техническое обслуживание оборудования,</w:t>
      </w:r>
    </w:p>
    <w:p w14:paraId="2EE18B4A" w14:textId="65ADABE2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при необходимости вымыть с мылом руки.</w:t>
      </w:r>
    </w:p>
    <w:p w14:paraId="52A7F6EF" w14:textId="77777777" w:rsidR="00BC0DB7" w:rsidRDefault="00BC0DB7" w:rsidP="00BC0DB7">
      <w:pPr>
        <w:widowControl w:val="0"/>
        <w:tabs>
          <w:tab w:val="left" w:pos="993"/>
        </w:tabs>
        <w:spacing w:after="0" w:line="360" w:lineRule="auto"/>
        <w:ind w:left="709"/>
        <w:jc w:val="both"/>
        <w:rPr>
          <w:rFonts w:ascii="Times New Roman" w:eastAsia="Calibri" w:hAnsi="Times New Roman"/>
          <w:sz w:val="28"/>
          <w:szCs w:val="28"/>
        </w:rPr>
      </w:pPr>
    </w:p>
    <w:p w14:paraId="1DA95B7E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6.3 Режим труда и отдыха</w:t>
      </w:r>
    </w:p>
    <w:p w14:paraId="0527C0CD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p w14:paraId="611C2BA6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деятельности. </w:t>
      </w:r>
      <w:r>
        <w:rPr>
          <w:rFonts w:ascii="Times New Roman" w:hAnsi="Times New Roman"/>
          <w:color w:val="000000" w:themeColor="text1"/>
          <w:sz w:val="28"/>
          <w:szCs w:val="28"/>
        </w:rPr>
        <w:t>При 8-часовом рабочем дне (смене) и работе с компьютерами регламентированные перерывы следует устанавливать:</w:t>
      </w:r>
    </w:p>
    <w:p w14:paraId="10C35B78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20 000 знаков (работа по вводу информации до 15 000 знаков, либо творческая работа в режиме диалога с компьютером до 2 ч) – через 2 ч от начала рабочего дня (смены) и через 2 ч после обеденного перерыва продолжительностью 15 мин каждый,</w:t>
      </w:r>
    </w:p>
    <w:p w14:paraId="3198CE1B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40 000 знаков (работа по вводу информации до 30 000 знаков, либо творческая работа в режиме диалога с компьютером до 4 ч) – через 2 ч от начала рабочего дня (смены) и через 1,5 – 2 ч после обеденного перерыва продолжительностью 15 мин каждый, или продолжительностью 10 мин через каждый час работы,</w:t>
      </w:r>
    </w:p>
    <w:p w14:paraId="4E27AE89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60 000 знаков (работа по вводу информации до 40 000 знаков, либо творческая работа в режиме диалога с компьютером до 6 ч) – через 1,5 – 2 ч от начала рабочего дня (смены) и через 1,5 – 2 ч после обеденного перерыва продолжительностью 20 мин каждый или продолжительностью 15 мин через каждый час работы.</w:t>
      </w:r>
    </w:p>
    <w:p w14:paraId="635F979B" w14:textId="77777777" w:rsidR="00131994" w:rsidRDefault="00131994" w:rsidP="00131994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12-часовом рабочем дне (смене) регламентированные перерывы должны устанавливаться в первые 8 ч работы аналогично перерывам при 8-часовом рабочем дне (смене), а в течение последних 4 ч работы – независимо от категории и вида работ каждый час продолжительностью 15 мин </w:t>
      </w:r>
      <w:r w:rsidRPr="00131994">
        <w:rPr>
          <w:color w:val="000000" w:themeColor="text1"/>
          <w:sz w:val="28"/>
          <w:szCs w:val="28"/>
        </w:rPr>
        <w:t>[23]</w:t>
      </w:r>
      <w:r>
        <w:rPr>
          <w:color w:val="000000" w:themeColor="text1"/>
          <w:sz w:val="28"/>
          <w:szCs w:val="28"/>
        </w:rPr>
        <w:t>.</w:t>
      </w:r>
    </w:p>
    <w:p w14:paraId="65480D57" w14:textId="77777777" w:rsidR="00131994" w:rsidRDefault="00131994" w:rsidP="00131994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 работе с компьютером в ночную смену (с 22 до 6 ч), независимо от категории и вида трудовой деятельности, суммарная продолжительность регламентированных перерывов должна увеличиваться на 60 мин.</w:t>
      </w:r>
    </w:p>
    <w:p w14:paraId="1834C25C" w14:textId="77777777" w:rsidR="00131994" w:rsidRDefault="00131994" w:rsidP="001319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регламентированных перерывов с целью снижения нервно-эмоционального напряжения, снижения утомления зрительного анализатора, устранения влияния гиподинамии и гипокинезии, предотвращения развития статического утомления необходимо выполнять физические упражнения и упражнения для глаз.</w:t>
      </w:r>
    </w:p>
    <w:p w14:paraId="3B1111A6" w14:textId="77777777" w:rsidR="00131994" w:rsidRDefault="00131994" w:rsidP="001319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8DED90F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6.4 Противопожарная защита и электробезопасность при работе за компьютером</w:t>
      </w:r>
    </w:p>
    <w:p w14:paraId="3839E06D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1F63967B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Неправильное обращение с персональным компьютером, кабелями и мониторами может привести к тяжелым поражениям электрическим током, вызвать загорание аппаратуры.</w:t>
      </w:r>
    </w:p>
    <w:p w14:paraId="4A90C134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своем рабочем месте необходимо постоянно следить за состоянием электропроводки, выключателей, штепсельных розеток, при помощи которых оборудование включается в сеть, а также состоянием заземления. При обнаружении неисправности необходимо немедленно обесточить компьютер и дополнительную периферию, оповестить администрацию. Продолжение работы возможно только после устранения неисправности.</w:t>
      </w:r>
    </w:p>
    <w:p w14:paraId="2E50BD89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Запрещается под напряжением очищать от пыли и загрязнения компоненты компьютера и компьютерную периферию. Во избежание поражения электрическим током, при их пользовании нельзя касаться одновременно каких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>либо трубопроводов, батарей отопления, металлических конструкций, соединенных с землей.</w:t>
      </w:r>
    </w:p>
    <w:p w14:paraId="6A83FBD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 [24].</w:t>
      </w:r>
    </w:p>
    <w:p w14:paraId="64618DD2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Пожарная безопасность обеспечивается системой предотвращения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пожара и системой пожарной защиты. Во всех служебных помещениях обязательно должен быть «План эвакуации людей при пожаре», регламентирующий действия персонала в случае возникновения очага возгорания и указывающий места расположения пожарной техники.</w:t>
      </w:r>
    </w:p>
    <w:p w14:paraId="0D8A90E7" w14:textId="77777777" w:rsidR="00131994" w:rsidRDefault="00131994" w:rsidP="00131994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 очага возгорания (если это возможно) и одновременно оповестить о пожаре администрацию.</w:t>
      </w:r>
    </w:p>
    <w:p w14:paraId="17E598B4" w14:textId="77777777" w:rsidR="00131994" w:rsidRDefault="00131994" w:rsidP="00131994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Помещения для работы с компьютерами должны быть оснащены углекислотными огнетушителями типа ОУ</w:t>
      </w:r>
      <w:r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</w:rPr>
        <w:t>2 или ОУ</w:t>
      </w:r>
      <w:r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</w:rPr>
        <w:t>3.</w:t>
      </w:r>
    </w:p>
    <w:p w14:paraId="55C81A3D" w14:textId="576FA18D" w:rsidR="00B81C8E" w:rsidRPr="00D13B87" w:rsidRDefault="00131994" w:rsidP="00D13B87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Одним из эффективных средств самостоятельной нейтрализации небольших источников возгорания, позволяющих предотвратить дальнейшее распространение пожара, является порошковый огнетушитель.</w:t>
      </w:r>
      <w:r>
        <w:rPr>
          <w:color w:val="000000" w:themeColor="text1"/>
          <w:sz w:val="28"/>
          <w:szCs w:val="28"/>
        </w:rPr>
        <w:t xml:space="preserve"> Порошковые огнетушители, также, как и углекислотные огнетушители, представляют собой баллоны красного цвета, где хранится огнетушащий состав, а именно порошок, и они оборудованы запорно-пусковыми устройствами. </w:t>
      </w:r>
      <w:r>
        <w:rPr>
          <w:color w:val="000000" w:themeColor="text1"/>
          <w:sz w:val="28"/>
          <w:szCs w:val="28"/>
          <w:shd w:val="clear" w:color="auto" w:fill="FFFFFF"/>
        </w:rPr>
        <w:t>После его применения, в месте тушения пожара в течение определенного времени сохраняется неприятное пыльное облако, не рекомендуемое для вдыхания легкими.</w:t>
      </w:r>
    </w:p>
    <w:sectPr w:rsidR="00B81C8E" w:rsidRPr="00D13B87" w:rsidSect="00086E29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6D7F" w14:textId="77777777" w:rsidR="000E7F17" w:rsidRDefault="000E7F17" w:rsidP="00FC7E82">
      <w:pPr>
        <w:spacing w:after="0" w:line="240" w:lineRule="auto"/>
      </w:pPr>
      <w:r>
        <w:separator/>
      </w:r>
    </w:p>
  </w:endnote>
  <w:endnote w:type="continuationSeparator" w:id="0">
    <w:p w14:paraId="161155EE" w14:textId="77777777" w:rsidR="000E7F17" w:rsidRDefault="000E7F17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966017"/>
      <w:docPartObj>
        <w:docPartGallery w:val="Page Numbers (Bottom of Page)"/>
        <w:docPartUnique/>
      </w:docPartObj>
    </w:sdtPr>
    <w:sdtContent>
      <w:p w14:paraId="78ABE872" w14:textId="261699F4" w:rsidR="00086E29" w:rsidRDefault="00086E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1A67FC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1A67FC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1A67FC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1A67FC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1A67FC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D3A992F" w:rsidR="00A575BD" w:rsidRPr="003D0B53" w:rsidRDefault="00C56AD2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F5356D2" w:rsidR="00A575BD" w:rsidRPr="00AD592A" w:rsidRDefault="00711F77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1A67FC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 w:rsidRPr="00AD592A">
            <w:rPr>
              <w:rFonts w:ascii="ISOCPEUR" w:hAnsi="ISOCPEUR"/>
              <w:i/>
              <w:spacing w:val="-18"/>
              <w:szCs w:val="20"/>
            </w:rPr>
            <w:t>Талыгина</w:t>
          </w:r>
          <w:proofErr w:type="spellEnd"/>
          <w:r w:rsidRPr="00AD592A">
            <w:rPr>
              <w:rFonts w:ascii="ISOCPEUR" w:hAnsi="ISOCPEUR"/>
              <w:i/>
              <w:spacing w:val="-18"/>
              <w:szCs w:val="20"/>
            </w:rPr>
            <w:t xml:space="preserve">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0FC01366" w:rsidR="00A575BD" w:rsidRPr="00AD592A" w:rsidRDefault="00711F77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1A67FC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28E536FE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086E29">
            <w:rPr>
              <w:rFonts w:ascii="ISOCPEUR" w:hAnsi="ISOCPEUR"/>
              <w:i/>
              <w:spacing w:val="-20"/>
            </w:rPr>
            <w:t>43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4F98F38D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693A83">
            <w:rPr>
              <w:rFonts w:ascii="ISOCPEUR" w:hAnsi="ISOCPEUR"/>
              <w:i/>
              <w:spacing w:val="-20"/>
            </w:rPr>
            <w:t>8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1A67FC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1A67FC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1C11620E" w:rsidR="00A575BD" w:rsidRPr="00501261" w:rsidRDefault="00711F77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1A67FC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178A46F1" w:rsidR="00A575BD" w:rsidRPr="00501261" w:rsidRDefault="00711F77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6FFD" w14:textId="77777777" w:rsidR="000E7F17" w:rsidRDefault="000E7F17" w:rsidP="00FC7E82">
      <w:pPr>
        <w:spacing w:after="0" w:line="240" w:lineRule="auto"/>
      </w:pPr>
      <w:r>
        <w:separator/>
      </w:r>
    </w:p>
  </w:footnote>
  <w:footnote w:type="continuationSeparator" w:id="0">
    <w:p w14:paraId="7148C745" w14:textId="77777777" w:rsidR="000E7F17" w:rsidRDefault="000E7F17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6B0E2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A6C43"/>
    <w:multiLevelType w:val="hybridMultilevel"/>
    <w:tmpl w:val="2D964B88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E6245"/>
    <w:multiLevelType w:val="hybridMultilevel"/>
    <w:tmpl w:val="4FC0CF0E"/>
    <w:lvl w:ilvl="0" w:tplc="3A96ECD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32C527A"/>
    <w:multiLevelType w:val="hybridMultilevel"/>
    <w:tmpl w:val="8F44B5FE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5017833">
    <w:abstractNumId w:val="9"/>
  </w:num>
  <w:num w:numId="2" w16cid:durableId="584071668">
    <w:abstractNumId w:val="6"/>
  </w:num>
  <w:num w:numId="3" w16cid:durableId="941104468">
    <w:abstractNumId w:val="1"/>
  </w:num>
  <w:num w:numId="4" w16cid:durableId="1695879233">
    <w:abstractNumId w:val="5"/>
  </w:num>
  <w:num w:numId="5" w16cid:durableId="757362390">
    <w:abstractNumId w:val="10"/>
  </w:num>
  <w:num w:numId="6" w16cid:durableId="1979140742">
    <w:abstractNumId w:val="2"/>
  </w:num>
  <w:num w:numId="7" w16cid:durableId="1946620365">
    <w:abstractNumId w:val="3"/>
  </w:num>
  <w:num w:numId="8" w16cid:durableId="1128858872">
    <w:abstractNumId w:val="0"/>
  </w:num>
  <w:num w:numId="9" w16cid:durableId="1022822257">
    <w:abstractNumId w:val="8"/>
  </w:num>
  <w:num w:numId="10" w16cid:durableId="331418889">
    <w:abstractNumId w:val="5"/>
  </w:num>
  <w:num w:numId="11" w16cid:durableId="955872584">
    <w:abstractNumId w:val="10"/>
  </w:num>
  <w:num w:numId="12" w16cid:durableId="5895862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1366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610B"/>
    <w:rsid w:val="0002101C"/>
    <w:rsid w:val="00030425"/>
    <w:rsid w:val="00045CC5"/>
    <w:rsid w:val="000520FA"/>
    <w:rsid w:val="00080C52"/>
    <w:rsid w:val="00086B9B"/>
    <w:rsid w:val="00086E29"/>
    <w:rsid w:val="000A1ABA"/>
    <w:rsid w:val="000C5184"/>
    <w:rsid w:val="000D13AF"/>
    <w:rsid w:val="000D4CF0"/>
    <w:rsid w:val="000E7F17"/>
    <w:rsid w:val="000F47C0"/>
    <w:rsid w:val="001222D9"/>
    <w:rsid w:val="00126529"/>
    <w:rsid w:val="00131994"/>
    <w:rsid w:val="001405AB"/>
    <w:rsid w:val="00146222"/>
    <w:rsid w:val="001553E9"/>
    <w:rsid w:val="001607A3"/>
    <w:rsid w:val="0018047C"/>
    <w:rsid w:val="00183EC9"/>
    <w:rsid w:val="001A23E0"/>
    <w:rsid w:val="001A43FB"/>
    <w:rsid w:val="001A67FC"/>
    <w:rsid w:val="001A6E93"/>
    <w:rsid w:val="001B0DEA"/>
    <w:rsid w:val="001C2BA4"/>
    <w:rsid w:val="001D3219"/>
    <w:rsid w:val="001D38CA"/>
    <w:rsid w:val="001F39BC"/>
    <w:rsid w:val="002035A0"/>
    <w:rsid w:val="0021123E"/>
    <w:rsid w:val="00223CF8"/>
    <w:rsid w:val="00252FAA"/>
    <w:rsid w:val="00256C27"/>
    <w:rsid w:val="002571C3"/>
    <w:rsid w:val="002638AA"/>
    <w:rsid w:val="00276A3F"/>
    <w:rsid w:val="0028505F"/>
    <w:rsid w:val="00285C8A"/>
    <w:rsid w:val="00293587"/>
    <w:rsid w:val="002B1327"/>
    <w:rsid w:val="002D23F7"/>
    <w:rsid w:val="002E0433"/>
    <w:rsid w:val="00313534"/>
    <w:rsid w:val="0032516E"/>
    <w:rsid w:val="00353DB8"/>
    <w:rsid w:val="003605DC"/>
    <w:rsid w:val="00370BCE"/>
    <w:rsid w:val="00372FFE"/>
    <w:rsid w:val="00381D7A"/>
    <w:rsid w:val="00397C10"/>
    <w:rsid w:val="003A68A3"/>
    <w:rsid w:val="003B40A0"/>
    <w:rsid w:val="003C4BA1"/>
    <w:rsid w:val="003D0B53"/>
    <w:rsid w:val="003E2742"/>
    <w:rsid w:val="003F26B0"/>
    <w:rsid w:val="00405471"/>
    <w:rsid w:val="00413827"/>
    <w:rsid w:val="00414591"/>
    <w:rsid w:val="00457675"/>
    <w:rsid w:val="00495920"/>
    <w:rsid w:val="004B6DD7"/>
    <w:rsid w:val="004C4FC9"/>
    <w:rsid w:val="004E0993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60C86"/>
    <w:rsid w:val="005741BE"/>
    <w:rsid w:val="00594183"/>
    <w:rsid w:val="00596DEA"/>
    <w:rsid w:val="005C023A"/>
    <w:rsid w:val="005E1279"/>
    <w:rsid w:val="0061366A"/>
    <w:rsid w:val="006206C5"/>
    <w:rsid w:val="00633F26"/>
    <w:rsid w:val="0064352C"/>
    <w:rsid w:val="006774C2"/>
    <w:rsid w:val="00683CF5"/>
    <w:rsid w:val="006926A1"/>
    <w:rsid w:val="00693A83"/>
    <w:rsid w:val="006A343D"/>
    <w:rsid w:val="006A7645"/>
    <w:rsid w:val="006B104E"/>
    <w:rsid w:val="006B504F"/>
    <w:rsid w:val="006C1C26"/>
    <w:rsid w:val="00711F77"/>
    <w:rsid w:val="00712A84"/>
    <w:rsid w:val="007252EF"/>
    <w:rsid w:val="00734E53"/>
    <w:rsid w:val="00747C02"/>
    <w:rsid w:val="007725DB"/>
    <w:rsid w:val="007944E7"/>
    <w:rsid w:val="007A064B"/>
    <w:rsid w:val="007A532D"/>
    <w:rsid w:val="007A77F6"/>
    <w:rsid w:val="007C0D01"/>
    <w:rsid w:val="00803123"/>
    <w:rsid w:val="0080459A"/>
    <w:rsid w:val="008142B6"/>
    <w:rsid w:val="008207A2"/>
    <w:rsid w:val="00821881"/>
    <w:rsid w:val="00831857"/>
    <w:rsid w:val="00836C99"/>
    <w:rsid w:val="008470F6"/>
    <w:rsid w:val="00851E4E"/>
    <w:rsid w:val="00854E39"/>
    <w:rsid w:val="00862640"/>
    <w:rsid w:val="00891903"/>
    <w:rsid w:val="00892CBD"/>
    <w:rsid w:val="00895CBD"/>
    <w:rsid w:val="008D47F3"/>
    <w:rsid w:val="008D497D"/>
    <w:rsid w:val="008E3933"/>
    <w:rsid w:val="008E3E5B"/>
    <w:rsid w:val="008F04EF"/>
    <w:rsid w:val="008F2A6D"/>
    <w:rsid w:val="0091014D"/>
    <w:rsid w:val="00910AD4"/>
    <w:rsid w:val="00926D66"/>
    <w:rsid w:val="009368D4"/>
    <w:rsid w:val="00942DD2"/>
    <w:rsid w:val="00953B00"/>
    <w:rsid w:val="00970338"/>
    <w:rsid w:val="0097364E"/>
    <w:rsid w:val="0097424E"/>
    <w:rsid w:val="009823E3"/>
    <w:rsid w:val="009C1590"/>
    <w:rsid w:val="009F38B5"/>
    <w:rsid w:val="009F657F"/>
    <w:rsid w:val="00A13EE8"/>
    <w:rsid w:val="00A34E63"/>
    <w:rsid w:val="00A5317F"/>
    <w:rsid w:val="00A54E58"/>
    <w:rsid w:val="00A55ED7"/>
    <w:rsid w:val="00A56839"/>
    <w:rsid w:val="00A575BD"/>
    <w:rsid w:val="00A81CD1"/>
    <w:rsid w:val="00A87BFC"/>
    <w:rsid w:val="00AB400F"/>
    <w:rsid w:val="00AD040F"/>
    <w:rsid w:val="00AD4B77"/>
    <w:rsid w:val="00AD592A"/>
    <w:rsid w:val="00AE0C87"/>
    <w:rsid w:val="00B26E6A"/>
    <w:rsid w:val="00B40313"/>
    <w:rsid w:val="00B43624"/>
    <w:rsid w:val="00B5427A"/>
    <w:rsid w:val="00B63F66"/>
    <w:rsid w:val="00B66843"/>
    <w:rsid w:val="00B779B8"/>
    <w:rsid w:val="00B81C8E"/>
    <w:rsid w:val="00B94578"/>
    <w:rsid w:val="00BC0A83"/>
    <w:rsid w:val="00BC0DB7"/>
    <w:rsid w:val="00BD1CBF"/>
    <w:rsid w:val="00BD5F0D"/>
    <w:rsid w:val="00BE233B"/>
    <w:rsid w:val="00C11FE5"/>
    <w:rsid w:val="00C14570"/>
    <w:rsid w:val="00C1678D"/>
    <w:rsid w:val="00C218F1"/>
    <w:rsid w:val="00C4133B"/>
    <w:rsid w:val="00C46179"/>
    <w:rsid w:val="00C46CB6"/>
    <w:rsid w:val="00C56AD2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1E1D"/>
    <w:rsid w:val="00CC0977"/>
    <w:rsid w:val="00CD77E0"/>
    <w:rsid w:val="00D13B87"/>
    <w:rsid w:val="00D13D23"/>
    <w:rsid w:val="00D14E40"/>
    <w:rsid w:val="00D57710"/>
    <w:rsid w:val="00D71654"/>
    <w:rsid w:val="00D72662"/>
    <w:rsid w:val="00D976D7"/>
    <w:rsid w:val="00DB3EB9"/>
    <w:rsid w:val="00DB6E19"/>
    <w:rsid w:val="00DC077A"/>
    <w:rsid w:val="00DF1593"/>
    <w:rsid w:val="00E00FEF"/>
    <w:rsid w:val="00E11A80"/>
    <w:rsid w:val="00E4308E"/>
    <w:rsid w:val="00E476A6"/>
    <w:rsid w:val="00E630D5"/>
    <w:rsid w:val="00E74E2B"/>
    <w:rsid w:val="00E84A3A"/>
    <w:rsid w:val="00E87DB7"/>
    <w:rsid w:val="00E90FE7"/>
    <w:rsid w:val="00E942CC"/>
    <w:rsid w:val="00E977FC"/>
    <w:rsid w:val="00EC5265"/>
    <w:rsid w:val="00ED16E9"/>
    <w:rsid w:val="00F0226B"/>
    <w:rsid w:val="00F2564D"/>
    <w:rsid w:val="00F32514"/>
    <w:rsid w:val="00F52E46"/>
    <w:rsid w:val="00F73D46"/>
    <w:rsid w:val="00FA00C3"/>
    <w:rsid w:val="00FB0BF2"/>
    <w:rsid w:val="00FB776A"/>
    <w:rsid w:val="00FC53EB"/>
    <w:rsid w:val="00FC7E82"/>
    <w:rsid w:val="00FE36E6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rtejustify">
    <w:name w:val="rtejustify"/>
    <w:basedOn w:val="a"/>
    <w:uiPriority w:val="99"/>
    <w:rsid w:val="001319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131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5681-3809-4E9E-BFB2-8504DC89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23</cp:revision>
  <cp:lastPrinted>2020-06-12T11:10:00Z</cp:lastPrinted>
  <dcterms:created xsi:type="dcterms:W3CDTF">2022-06-12T21:39:00Z</dcterms:created>
  <dcterms:modified xsi:type="dcterms:W3CDTF">2022-06-16T11:11:00Z</dcterms:modified>
</cp:coreProperties>
</file>