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4E11" w14:textId="77777777" w:rsidR="00A34E63" w:rsidRPr="00596DEA" w:rsidRDefault="00A34E63" w:rsidP="004C4FC9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 Охрана труда</w:t>
      </w:r>
    </w:p>
    <w:p w14:paraId="5C7582B1" w14:textId="1F83F805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6.1</w:t>
      </w:r>
      <w:r w:rsidR="001A6E93">
        <w:rPr>
          <w:rFonts w:ascii="Times New Roman" w:hAnsi="Times New Roman"/>
          <w:b/>
          <w:sz w:val="28"/>
          <w:szCs w:val="28"/>
        </w:rPr>
        <w:t xml:space="preserve"> </w:t>
      </w:r>
      <w:r w:rsidRPr="00596DEA">
        <w:rPr>
          <w:rFonts w:ascii="Times New Roman" w:hAnsi="Times New Roman"/>
          <w:b/>
          <w:sz w:val="28"/>
          <w:szCs w:val="28"/>
        </w:rPr>
        <w:t>О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 w:rsidRPr="00596DEA"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36847DBC" w14:textId="77777777" w:rsidR="004C4FC9" w:rsidRPr="00596DEA" w:rsidRDefault="004C4FC9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36CDC5" w14:textId="77777777" w:rsidR="006A343D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современном мире охрана здоровья работников, обеспечение безопасности условий труда, ликвидация или сведени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минимуму вероятност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ей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возникновения профессиональных заболеваний и производственного травматизма является важной задачей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жестко регламентированной и контролируемой со стороны государства. </w:t>
      </w:r>
    </w:p>
    <w:p w14:paraId="2323BA10" w14:textId="5843E86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Охрана труда</w:t>
      </w:r>
      <w:r w:rsidR="004C4FC9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14:paraId="2CA5B1A9" w14:textId="656D1A16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Как можно понять из определения охрана труда являет собой многообразие аспектов разных направленностей, но все они сводятся к безопасности работника и его семьи. Ведь профессиональные заболевания и вредные факторы, воздействующие на человека, могут сказаться не только на его здоровье, но и на здоровье потомства. Таким образом, недооценивать полезный вклад охраны труда в жизнь работника невозможно. Именно охрана труда ставит здоровье и жизнь человека выше конечного продукта производства.  Дело не только в здоровье, </w:t>
      </w:r>
      <w:r w:rsidR="00E942CC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но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 в правах работника на отдых,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достойную заработную плату,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рабочее место, соответствующее безопасным условиям труда. Правильно организованная система охраны труда на предприятии позволяет повысить культуру и дисциплину труда, улучшить производительность. </w:t>
      </w:r>
    </w:p>
    <w:p w14:paraId="6B9D5C8F" w14:textId="401BFC7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Вредные производственные факторы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факторы, приводящие к заболеванию, в том числе усугубляющие уже имеющиеся заболевания.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Вредный производственный фактор может стать опасным в зависимости от уровня и продолжительности воздействия на человека. К вредным факторам при работе 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за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 монотонность труда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электромагнитное излучение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электростатическое поле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пыль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шум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психические нагрузки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нелинейность нагрузки в течение рабочего дня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перенапряжение зрительных анализаторов и другие факторы, зависящие от конкретного места работы.</w:t>
      </w:r>
    </w:p>
    <w:p w14:paraId="0EF4D4AF" w14:textId="11AC5A57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Опасные производственные факторы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факторы, приводящие к травме, в том числе смертельной.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данном случае мы имеем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один такой фактор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поражение электрическим током. Так как компьютер питается от сети переменного напряжения 220</w:t>
      </w:r>
      <w:r w:rsidR="00C1457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В, 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представляет прямую угрозу жизни. А в мониторе напряжение может составлять несколько киловольт даже после отключения питания. Поэтому обязательное требование безопасности – компьютер должен быть заземлён.</w:t>
      </w:r>
    </w:p>
    <w:p w14:paraId="6190056E" w14:textId="019DFAF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Вредные производственные факторы, как и опасные производственные факторы, объединены в четыре основные группы: химические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биологические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физические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факторы трудового процесса.</w:t>
      </w:r>
    </w:p>
    <w:p w14:paraId="24B0D41B" w14:textId="77777777" w:rsidR="008470F6" w:rsidRPr="00596DEA" w:rsidRDefault="008470F6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D2D2E37" w14:textId="2EC5E082" w:rsidR="00A34E63" w:rsidRPr="00596DEA" w:rsidRDefault="00A34E63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 w:rsidRPr="00596DEA">
        <w:rPr>
          <w:rFonts w:ascii="Times New Roman" w:eastAsia="Calibri" w:hAnsi="Times New Roman"/>
          <w:b/>
          <w:sz w:val="28"/>
          <w:szCs w:val="28"/>
        </w:rPr>
        <w:t xml:space="preserve">6.2 </w:t>
      </w:r>
      <w:r w:rsidRPr="00596DEA"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7842B241" w14:textId="77777777" w:rsidR="008470F6" w:rsidRPr="00596DEA" w:rsidRDefault="008470F6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7952EB57" w14:textId="31F91B1B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это часть пространства, в котором программист осуществляет трудовую деятельность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и проводит большую часть рабочего времени. </w:t>
      </w:r>
      <w:r w:rsidR="001405AB"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место,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хорошо приспособленное к трудовой деятельности работника, правильно и целесообразно организованное в отношении пространства, формы, размера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14:paraId="7D1B5014" w14:textId="62AB2B19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Конструкция рабочего места и взаимное расположение всех его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схемы размещения рабочих мест должны учитывать расстояния между рабочими столами с видеомониторами, которое должно быть не менее 2</w:t>
      </w:r>
      <w:r w:rsidR="008031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м, а расстояние между боковыми поверхностями видеомониторов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не менее 1</w:t>
      </w:r>
      <w:r w:rsidR="00DB3EB9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м; 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конные проемы в помещениях должны быть оборудованы регулируемыми устройствами типа жалюзи, занавесей, внешних козырьков;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 объем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не менее 20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1BDC09A0" w14:textId="77777777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636A0A6D" w14:textId="3C11722A" w:rsidR="00A34E63" w:rsidRPr="00596DEA" w:rsidRDefault="00DB3EB9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отол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ка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0,7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0,8 (белый, слоновая кость)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761EE67D" w14:textId="04559073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стен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: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="000C5184"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0,6 (голубой, салатовый, бежевый, светло-серый)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1A7D4305" w14:textId="68D67F77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пола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0,3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Pr="00596DEA"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5280E929" w14:textId="14CD20BA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</w:t>
      </w:r>
      <w:r w:rsidR="005327FB" w:rsidRPr="00596DEA">
        <w:rPr>
          <w:rFonts w:ascii="Times New Roman" w:eastAsia="Calibri" w:hAnsi="Times New Roman"/>
          <w:sz w:val="28"/>
          <w:szCs w:val="28"/>
        </w:rPr>
        <w:t>т</w:t>
      </w:r>
      <w:r w:rsidRPr="00596DEA">
        <w:rPr>
          <w:rFonts w:ascii="Times New Roman" w:eastAsia="Calibri" w:hAnsi="Times New Roman"/>
          <w:sz w:val="28"/>
          <w:szCs w:val="28"/>
        </w:rPr>
        <w:t xml:space="preserve"> статическое электричество</w:t>
      </w:r>
      <w:r w:rsidR="005327FB" w:rsidRPr="00596DEA">
        <w:rPr>
          <w:rFonts w:ascii="Times New Roman" w:eastAsia="Calibri" w:hAnsi="Times New Roman"/>
          <w:sz w:val="28"/>
          <w:szCs w:val="28"/>
        </w:rPr>
        <w:t>,</w:t>
      </w:r>
      <w:r w:rsidRPr="00596DEA">
        <w:rPr>
          <w:rFonts w:ascii="Times New Roman" w:eastAsia="Calibri" w:hAnsi="Times New Roman"/>
          <w:sz w:val="28"/>
          <w:szCs w:val="28"/>
        </w:rPr>
        <w:t xml:space="preserve"> запрещены.</w:t>
      </w:r>
    </w:p>
    <w:p w14:paraId="367DBBA3" w14:textId="77777777" w:rsidR="00A34E63" w:rsidRPr="00596DEA" w:rsidRDefault="00A34E63" w:rsidP="00AD4B7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10942BB8" w14:textId="3FCCC18D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</w:t>
      </w:r>
      <w:r w:rsidR="005E1279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1F5DDA9B" w14:textId="01F27229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E983EF4" w14:textId="4FFF0E65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уменьшение тепловыделений от мониторов компьютеров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1B3FDE4" w14:textId="77777777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511FF95B" w14:textId="77777777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  <w:bookmarkStart w:id="0" w:name="_Hlk105155658"/>
    </w:p>
    <w:p w14:paraId="52ADF69E" w14:textId="3CEACDB2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Экран видеомонитора должен находиться от глаз пользователя на оптимальном расстоянии</w:t>
      </w:r>
      <w:r w:rsidR="001C2BA4" w:rsidRPr="00596DEA">
        <w:rPr>
          <w:rFonts w:ascii="Times New Roman" w:hAnsi="Times New Roman"/>
          <w:sz w:val="28"/>
          <w:szCs w:val="28"/>
        </w:rPr>
        <w:t>:</w:t>
      </w:r>
      <w:r w:rsidRPr="00596DEA">
        <w:rPr>
          <w:rFonts w:ascii="Times New Roman" w:hAnsi="Times New Roman"/>
          <w:sz w:val="28"/>
          <w:szCs w:val="28"/>
        </w:rPr>
        <w:t xml:space="preserve"> 0,6</w:t>
      </w:r>
      <w:r w:rsidR="001C2BA4" w:rsidRPr="00596DEA">
        <w:rPr>
          <w:rFonts w:ascii="Times New Roman" w:hAnsi="Times New Roman"/>
          <w:sz w:val="28"/>
          <w:szCs w:val="28"/>
        </w:rPr>
        <w:t xml:space="preserve"> </w:t>
      </w:r>
      <w:r w:rsidRPr="00596DEA">
        <w:rPr>
          <w:rFonts w:ascii="Times New Roman" w:hAnsi="Times New Roman"/>
          <w:sz w:val="28"/>
          <w:szCs w:val="28"/>
        </w:rPr>
        <w:t xml:space="preserve">– 0,7 м, но не ближе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</w:t>
      </w:r>
      <w:r w:rsidRPr="00596DEA">
        <w:rPr>
          <w:rFonts w:ascii="Times New Roman" w:hAnsi="Times New Roman"/>
          <w:sz w:val="28"/>
          <w:szCs w:val="28"/>
        </w:rPr>
        <w:lastRenderedPageBreak/>
        <w:t>при отсутствии такой возможности высота рабочей поверхности стола должна составлять 0,725 м.</w:t>
      </w:r>
    </w:p>
    <w:p w14:paraId="76DAEE13" w14:textId="6C34CA84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Клавиатуру следует располагать на поверхности стола на расстоянии 0,1</w:t>
      </w:r>
      <w:r w:rsidR="006A7645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– 0,3 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="00892CBD" w:rsidRPr="00596DEA">
        <w:rPr>
          <w:sz w:val="28"/>
          <w:szCs w:val="28"/>
        </w:rPr>
        <w:t>.</w:t>
      </w:r>
    </w:p>
    <w:p w14:paraId="47EC5792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50E861DE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градусов. Поверхность подставки должна быть рифленой и иметь по переднему краю бортик высотой 0,01 м,</w:t>
      </w:r>
    </w:p>
    <w:p w14:paraId="7DFF55B7" w14:textId="69E6C89F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Уровень освещенности на поверхности рабочего стола составляет 300</w:t>
      </w:r>
      <w:r w:rsidR="0032516E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 xml:space="preserve">– 500 </w:t>
      </w:r>
      <w:proofErr w:type="spellStart"/>
      <w:r w:rsidRPr="00596DEA">
        <w:rPr>
          <w:sz w:val="28"/>
          <w:szCs w:val="28"/>
        </w:rPr>
        <w:t>лк</w:t>
      </w:r>
      <w:proofErr w:type="spellEnd"/>
      <w:r w:rsidRPr="00596DEA">
        <w:rPr>
          <w:sz w:val="28"/>
          <w:szCs w:val="28"/>
        </w:rPr>
        <w:t xml:space="preserve"> (люкс</w:t>
      </w:r>
      <w:r w:rsidRPr="006B104E">
        <w:rPr>
          <w:sz w:val="28"/>
          <w:szCs w:val="28"/>
        </w:rPr>
        <w:t>) [</w:t>
      </w:r>
      <w:r w:rsidR="006B104E">
        <w:rPr>
          <w:sz w:val="28"/>
          <w:szCs w:val="28"/>
        </w:rPr>
        <w:t>24</w:t>
      </w:r>
      <w:r w:rsidRPr="006B104E">
        <w:rPr>
          <w:sz w:val="28"/>
          <w:szCs w:val="28"/>
        </w:rPr>
        <w:t>].</w:t>
      </w:r>
    </w:p>
    <w:bookmarkEnd w:id="0"/>
    <w:p w14:paraId="4788460A" w14:textId="77777777" w:rsidR="00A34E63" w:rsidRPr="00596DEA" w:rsidRDefault="00A34E63" w:rsidP="00AD4B77">
      <w:pPr>
        <w:pStyle w:val="a9"/>
        <w:widowControl w:val="0"/>
        <w:tabs>
          <w:tab w:val="left" w:pos="993"/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При работе с персональным компьютером пользователь должен соблюдать ряд требований по организации труда.</w:t>
      </w:r>
    </w:p>
    <w:p w14:paraId="51F3D183" w14:textId="7C799591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 xml:space="preserve">Перед началом работы с ПК работник обязан: проветрить рабочее помещение, проверить исправность технического оборудования, отрегулировать положение стула, клавиатуры, экрана монитора и </w:t>
      </w:r>
      <w:r w:rsidR="00A81CD1" w:rsidRPr="00596DEA">
        <w:rPr>
          <w:rFonts w:ascii="Times New Roman" w:hAnsi="Times New Roman"/>
          <w:sz w:val="28"/>
          <w:szCs w:val="28"/>
        </w:rPr>
        <w:t>др.</w:t>
      </w:r>
      <w:r w:rsidRPr="00596DEA">
        <w:rPr>
          <w:rFonts w:ascii="Times New Roman" w:hAnsi="Times New Roman"/>
          <w:sz w:val="28"/>
          <w:szCs w:val="28"/>
        </w:rPr>
        <w:t xml:space="preserve">, </w:t>
      </w:r>
      <w:r w:rsidRPr="00596DEA">
        <w:rPr>
          <w:rFonts w:ascii="Times New Roman" w:hAnsi="Times New Roman"/>
          <w:sz w:val="28"/>
          <w:szCs w:val="28"/>
        </w:rPr>
        <w:lastRenderedPageBreak/>
        <w:t>протереть поверхность экрана монитора, защитного фильтра (при его наличии) сухой мягкой тканевой салфеткой, убедиться в отсутствии отражений на экране монитора, включить 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14:paraId="11B96D4D" w14:textId="2437C6DA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05156002"/>
      <w:r w:rsidRPr="00596DEA">
        <w:rPr>
          <w:rFonts w:ascii="Times New Roman" w:hAnsi="Times New Roman"/>
          <w:sz w:val="28"/>
          <w:szCs w:val="28"/>
        </w:rPr>
        <w:t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</w:t>
      </w:r>
      <w:bookmarkEnd w:id="1"/>
      <w:r w:rsidRPr="00596DEA">
        <w:rPr>
          <w:rFonts w:ascii="Times New Roman" w:hAnsi="Times New Roman"/>
          <w:sz w:val="28"/>
          <w:szCs w:val="28"/>
        </w:rPr>
        <w:t>.</w:t>
      </w:r>
    </w:p>
    <w:p w14:paraId="0AD45A50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A2ED3B" w14:textId="27DD30C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</w:t>
      </w:r>
      <w:r w:rsidR="00A81CD1">
        <w:rPr>
          <w:rFonts w:ascii="Times New Roman" w:hAnsi="Times New Roman"/>
          <w:b/>
          <w:bCs/>
          <w:sz w:val="28"/>
          <w:szCs w:val="28"/>
        </w:rPr>
        <w:t>.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3 </w:t>
      </w:r>
      <w:r w:rsidRPr="00596DEA">
        <w:rPr>
          <w:rFonts w:ascii="Times New Roman" w:hAnsi="Times New Roman"/>
          <w:b/>
          <w:sz w:val="28"/>
          <w:szCs w:val="28"/>
        </w:rPr>
        <w:t>Режим труда и отдыха</w:t>
      </w:r>
    </w:p>
    <w:p w14:paraId="09830406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73A423" w14:textId="023E1FDE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Одним из способов повлиять на процессы утомления является установление соответствующих режимов труда и профилактических мероприятий в виде физических упражнений.</w:t>
      </w:r>
    </w:p>
    <w:p w14:paraId="196C92EE" w14:textId="59E36485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обеспечения оптимальной работоспособности и сохранения здоровья</w:t>
      </w:r>
      <w:r w:rsidR="00C64B77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на протяжении рабочей смены должны устанавливаться регламентированные перерывы.</w:t>
      </w:r>
      <w:r w:rsidR="000D13AF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Продолжительность непрерывной работы с персональным компьютером без регламентированного перерыва не должна превышать 2 часов.</w:t>
      </w:r>
    </w:p>
    <w:p w14:paraId="754D817C" w14:textId="612352EA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увеличиваться на 60 </w:t>
      </w:r>
      <w:r w:rsidRPr="001B0DEA">
        <w:rPr>
          <w:sz w:val="28"/>
          <w:szCs w:val="28"/>
        </w:rPr>
        <w:t>минут [</w:t>
      </w:r>
      <w:r w:rsidR="001B0DEA">
        <w:rPr>
          <w:sz w:val="28"/>
          <w:szCs w:val="28"/>
        </w:rPr>
        <w:t>25</w:t>
      </w:r>
      <w:r w:rsidRPr="001B0DEA">
        <w:rPr>
          <w:sz w:val="28"/>
          <w:szCs w:val="28"/>
        </w:rPr>
        <w:t>].</w:t>
      </w:r>
    </w:p>
    <w:p w14:paraId="396D67C3" w14:textId="543909A3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При 8-часовой рабочей смене и работе на персональном компьютере регламентированные перерывы следует устанавливать:</w:t>
      </w:r>
    </w:p>
    <w:p w14:paraId="3532651A" w14:textId="1F1ABD7C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 категории работ</w:t>
      </w:r>
      <w:r w:rsidR="00256C27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2 часа от начала рабочей смены и через 2 часа после обеденного перерыва продолжительностью 15 минут каждый. К </w:t>
      </w:r>
      <w:r w:rsidRPr="00596DEA">
        <w:rPr>
          <w:sz w:val="28"/>
          <w:szCs w:val="28"/>
        </w:rPr>
        <w:lastRenderedPageBreak/>
        <w:t>этой категории относится работа по считыванию информации с экрана с предварительным запросом</w:t>
      </w:r>
      <w:r w:rsidR="00256C27" w:rsidRPr="00596DEA">
        <w:rPr>
          <w:sz w:val="28"/>
          <w:szCs w:val="28"/>
        </w:rPr>
        <w:t>,</w:t>
      </w:r>
    </w:p>
    <w:p w14:paraId="695D784D" w14:textId="25EE243E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для II категории работ </w:t>
      </w:r>
      <w:r w:rsidR="00256C27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 xml:space="preserve">через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15 минут каждый или продолжительностью 10 минут через каждый час работы. К этой категории относится работа по вводу информации</w:t>
      </w:r>
      <w:r w:rsidR="00FC53EB" w:rsidRPr="00596DEA">
        <w:rPr>
          <w:sz w:val="28"/>
          <w:szCs w:val="28"/>
        </w:rPr>
        <w:t>,</w:t>
      </w:r>
    </w:p>
    <w:p w14:paraId="41DD045B" w14:textId="4B775844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III категории работ</w:t>
      </w:r>
      <w:r w:rsidR="00FC53EB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1,5 </w:t>
      </w:r>
      <w:r w:rsidR="00FC53EB" w:rsidRPr="00596DEA">
        <w:rPr>
          <w:sz w:val="28"/>
          <w:szCs w:val="28"/>
        </w:rPr>
        <w:t>–</w:t>
      </w:r>
      <w:r w:rsidRPr="00596DEA">
        <w:rPr>
          <w:sz w:val="28"/>
          <w:szCs w:val="28"/>
        </w:rPr>
        <w:t xml:space="preserve">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20 минут каждый или продолжительностью 15 минут через каждый час работы. К этой категории относится творческая работа в режиме диалога с электронной вычислительной машиной</w:t>
      </w:r>
      <w:r w:rsidR="002571C3" w:rsidRPr="00596DEA">
        <w:rPr>
          <w:sz w:val="28"/>
          <w:szCs w:val="28"/>
        </w:rPr>
        <w:t>,</w:t>
      </w:r>
    </w:p>
    <w:p w14:paraId="56FCDD7D" w14:textId="0EFF0BFD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96DEA">
        <w:rPr>
          <w:sz w:val="28"/>
          <w:szCs w:val="28"/>
        </w:rPr>
        <w:t>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1CE830F0" w14:textId="4C97BDF5" w:rsidR="002571C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С целью уменьшения отрицательного влияния монотонности целесообразно применять чередование операций осмысленного текста и числовых данных, чередование редактирования текст</w:t>
      </w:r>
      <w:r w:rsidR="002571C3" w:rsidRPr="00596DEA">
        <w:rPr>
          <w:rFonts w:ascii="Times New Roman" w:hAnsi="Times New Roman"/>
          <w:sz w:val="28"/>
          <w:szCs w:val="28"/>
        </w:rPr>
        <w:t>а</w:t>
      </w:r>
      <w:r w:rsidRPr="00596DEA">
        <w:rPr>
          <w:rFonts w:ascii="Times New Roman" w:hAnsi="Times New Roman"/>
          <w:sz w:val="28"/>
          <w:szCs w:val="28"/>
        </w:rPr>
        <w:t xml:space="preserve"> и ввода данных.</w:t>
      </w:r>
      <w:bookmarkStart w:id="2" w:name="_Toc42759868"/>
    </w:p>
    <w:p w14:paraId="6EDB6AD6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E7B94" w14:textId="729E8F12" w:rsidR="00A34E6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6.4 Противопожарная защита и электробезопасность при работе за компьютером</w:t>
      </w:r>
      <w:bookmarkEnd w:id="2"/>
    </w:p>
    <w:p w14:paraId="47E3A524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79FE7" w14:textId="7777777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за компьютером необходимо помнить: к каждому рабочему месту проведено опасное для жизни напряжение. Поэтому во время работы необходимо быть предельно внимательным и соблюдать все требования техники безопасности. </w:t>
      </w:r>
    </w:p>
    <w:p w14:paraId="094E312B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14:paraId="17C106B4" w14:textId="1F5CE473" w:rsidR="00A34E63" w:rsidRPr="00596DEA" w:rsidRDefault="002D23F7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на своем рабочем месте </w:t>
      </w:r>
      <w:r w:rsidR="00A34E63" w:rsidRPr="00596DEA">
        <w:rPr>
          <w:rFonts w:ascii="Times New Roman" w:eastAsia="Calibri" w:hAnsi="Times New Roman"/>
          <w:sz w:val="28"/>
          <w:szCs w:val="28"/>
        </w:rPr>
        <w:t>необходимо постоянно следить</w:t>
      </w:r>
      <w:r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за </w:t>
      </w:r>
      <w:r w:rsidR="00C70133" w:rsidRPr="00596DEA">
        <w:rPr>
          <w:rFonts w:ascii="Times New Roman" w:eastAsia="Calibri" w:hAnsi="Times New Roman"/>
          <w:sz w:val="28"/>
          <w:szCs w:val="28"/>
        </w:rPr>
        <w:t>состоянием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lastRenderedPageBreak/>
        <w:t>электропроводки. При обнаружении неисправности</w:t>
      </w:r>
      <w:r w:rsidR="00C70133" w:rsidRPr="00596DEA">
        <w:rPr>
          <w:rFonts w:ascii="Times New Roman" w:eastAsia="Calibri" w:hAnsi="Times New Roman"/>
          <w:sz w:val="28"/>
          <w:szCs w:val="28"/>
        </w:rPr>
        <w:t xml:space="preserve"> необходимо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немедленно обесточить </w:t>
      </w:r>
      <w:r w:rsidR="000A1ABA">
        <w:rPr>
          <w:rFonts w:ascii="Times New Roman" w:eastAsia="Calibri" w:hAnsi="Times New Roman"/>
          <w:sz w:val="28"/>
          <w:szCs w:val="28"/>
        </w:rPr>
        <w:t>компьютер и все подключенные к нему устройства, а также дополнительную периферию</w:t>
      </w:r>
      <w:r w:rsidR="00A34E63" w:rsidRPr="00596DEA">
        <w:rPr>
          <w:rFonts w:ascii="Times New Roman" w:eastAsia="Calibri" w:hAnsi="Times New Roman"/>
          <w:sz w:val="28"/>
          <w:szCs w:val="28"/>
        </w:rPr>
        <w:t>, оповестить администрацию. Продолжение работы возможно только после устранения неисправности</w:t>
      </w:r>
      <w:r w:rsidR="005741BE">
        <w:rPr>
          <w:rFonts w:ascii="Times New Roman" w:eastAsia="Calibri" w:hAnsi="Times New Roman"/>
          <w:sz w:val="28"/>
          <w:szCs w:val="28"/>
        </w:rPr>
        <w:t>:</w:t>
      </w:r>
    </w:p>
    <w:p w14:paraId="632AF730" w14:textId="2EC56EA6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запрещается под напряжением очищать от пыли и загрязнения </w:t>
      </w:r>
      <w:r w:rsidR="00A56839">
        <w:rPr>
          <w:rFonts w:ascii="Times New Roman" w:eastAsia="Calibri" w:hAnsi="Times New Roman"/>
          <w:sz w:val="28"/>
          <w:szCs w:val="28"/>
        </w:rPr>
        <w:t>блок компьютера</w:t>
      </w:r>
      <w:r w:rsidR="00C70133" w:rsidRPr="00596DEA">
        <w:rPr>
          <w:rFonts w:ascii="Times New Roman" w:eastAsia="Calibri" w:hAnsi="Times New Roman"/>
          <w:sz w:val="28"/>
          <w:szCs w:val="28"/>
        </w:rPr>
        <w:t>,</w:t>
      </w:r>
      <w:r w:rsidR="00A56839">
        <w:rPr>
          <w:rFonts w:ascii="Times New Roman" w:eastAsia="Calibri" w:hAnsi="Times New Roman"/>
          <w:sz w:val="28"/>
          <w:szCs w:val="28"/>
        </w:rPr>
        <w:t xml:space="preserve"> принтер, ксерокс</w:t>
      </w:r>
      <w:r w:rsidR="005741BE">
        <w:rPr>
          <w:rFonts w:ascii="Times New Roman" w:eastAsia="Calibri" w:hAnsi="Times New Roman"/>
          <w:sz w:val="28"/>
          <w:szCs w:val="28"/>
        </w:rPr>
        <w:t xml:space="preserve">, факс и др., </w:t>
      </w:r>
    </w:p>
    <w:p w14:paraId="0259D770" w14:textId="50C05044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во избежание поражения электрическим током, при пользовании </w:t>
      </w:r>
      <w:r w:rsidR="005741BE">
        <w:rPr>
          <w:rFonts w:ascii="Times New Roman" w:eastAsia="Calibri" w:hAnsi="Times New Roman"/>
          <w:sz w:val="28"/>
          <w:szCs w:val="28"/>
        </w:rPr>
        <w:t>компьютером и его периферией</w:t>
      </w:r>
      <w:r w:rsidRPr="00596DEA">
        <w:rPr>
          <w:rFonts w:ascii="Times New Roman" w:eastAsia="Calibri" w:hAnsi="Times New Roman"/>
          <w:sz w:val="28"/>
          <w:szCs w:val="28"/>
        </w:rPr>
        <w:t xml:space="preserve"> нельзя касаться одновременно каких-либо трубопроводов, батарей отопления, металлических конструкций, соединенных с землей</w:t>
      </w:r>
      <w:r w:rsidR="0080459A" w:rsidRPr="00596DEA">
        <w:rPr>
          <w:rFonts w:ascii="Times New Roman" w:eastAsia="Calibri" w:hAnsi="Times New Roman"/>
          <w:sz w:val="28"/>
          <w:szCs w:val="28"/>
        </w:rPr>
        <w:t>,</w:t>
      </w:r>
    </w:p>
    <w:p w14:paraId="4BAAA5D9" w14:textId="58558ED0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</w:t>
      </w:r>
      <w:r w:rsidR="0080459A" w:rsidRPr="00596DEA">
        <w:rPr>
          <w:rFonts w:ascii="Times New Roman" w:eastAsia="Calibri" w:hAnsi="Times New Roman"/>
          <w:sz w:val="28"/>
          <w:szCs w:val="28"/>
        </w:rPr>
        <w:t>.</w:t>
      </w:r>
    </w:p>
    <w:p w14:paraId="6CA95E95" w14:textId="3F48A908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Пожарная безопасность обеспечивается системой предотвращения пожара и системой пожарной защиты. Во всех служебных помещениях обязательно должен быть «План эвакуации людей при пожаре», регламентирующий действия персонала в случае возникновения очага возгорания и указывающий места расположения пожарной </w:t>
      </w:r>
      <w:r w:rsidRPr="00CB1E1D">
        <w:rPr>
          <w:rFonts w:ascii="Times New Roman" w:eastAsia="Calibri" w:hAnsi="Times New Roman"/>
          <w:sz w:val="28"/>
          <w:szCs w:val="28"/>
        </w:rPr>
        <w:t>техники [</w:t>
      </w:r>
      <w:r w:rsidR="00CB1E1D">
        <w:rPr>
          <w:rFonts w:ascii="Times New Roman" w:eastAsia="Calibri" w:hAnsi="Times New Roman"/>
          <w:sz w:val="28"/>
          <w:szCs w:val="28"/>
        </w:rPr>
        <w:t>26</w:t>
      </w:r>
      <w:r w:rsidRPr="00CB1E1D">
        <w:rPr>
          <w:rFonts w:ascii="Times New Roman" w:eastAsia="Calibri" w:hAnsi="Times New Roman"/>
          <w:sz w:val="28"/>
          <w:szCs w:val="28"/>
        </w:rPr>
        <w:t>].</w:t>
      </w:r>
    </w:p>
    <w:p w14:paraId="389E686D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В помещениях запрещается: </w:t>
      </w:r>
    </w:p>
    <w:p w14:paraId="3018DF76" w14:textId="0E6B776F" w:rsidR="00A34E63" w:rsidRPr="00596DEA" w:rsidRDefault="00536697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раз</w:t>
      </w:r>
      <w:r w:rsidR="00A34E63" w:rsidRPr="00596DEA">
        <w:rPr>
          <w:rFonts w:ascii="Times New Roman" w:eastAsia="Calibri" w:hAnsi="Times New Roman"/>
          <w:sz w:val="28"/>
          <w:szCs w:val="28"/>
        </w:rPr>
        <w:t>жигать огонь</w:t>
      </w:r>
      <w:r w:rsidRPr="00596DEA">
        <w:rPr>
          <w:rFonts w:ascii="Times New Roman" w:eastAsia="Calibri" w:hAnsi="Times New Roman"/>
          <w:sz w:val="28"/>
          <w:szCs w:val="28"/>
        </w:rPr>
        <w:t>,</w:t>
      </w:r>
    </w:p>
    <w:p w14:paraId="45417EBE" w14:textId="14A86E44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включать</w:t>
      </w:r>
      <w:r w:rsidR="00B779B8">
        <w:rPr>
          <w:rFonts w:ascii="Times New Roman" w:eastAsia="Calibri" w:hAnsi="Times New Roman"/>
          <w:sz w:val="28"/>
          <w:szCs w:val="28"/>
        </w:rPr>
        <w:t xml:space="preserve"> компьютер и его периферию</w:t>
      </w:r>
      <w:r w:rsidRPr="00596DEA">
        <w:rPr>
          <w:rFonts w:ascii="Times New Roman" w:eastAsia="Calibri" w:hAnsi="Times New Roman"/>
          <w:sz w:val="28"/>
          <w:szCs w:val="28"/>
        </w:rPr>
        <w:t>, если в помещении пахнет газом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7CA826CC" w14:textId="4A162260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курить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4D372B0E" w14:textId="77777777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закрывать вентиляционные отверстия в электроаппаратуре.</w:t>
      </w:r>
    </w:p>
    <w:p w14:paraId="587BA5A1" w14:textId="2E06B32E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pacing w:val="-4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ликвидации очага</w:t>
      </w:r>
      <w:r w:rsidR="00536697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его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возгорания (если это возможно) и одновременно оповестить о пожаре администрацию.</w:t>
      </w:r>
    </w:p>
    <w:p w14:paraId="7DCD006A" w14:textId="6F31C72F" w:rsidR="00B779B8" w:rsidRDefault="00A34E63" w:rsidP="00B779B8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Помещения с </w:t>
      </w:r>
      <w:r w:rsidR="00D14E40">
        <w:rPr>
          <w:rFonts w:ascii="Times New Roman" w:eastAsia="Calibri" w:hAnsi="Times New Roman"/>
          <w:sz w:val="28"/>
          <w:szCs w:val="28"/>
        </w:rPr>
        <w:t xml:space="preserve">компьютерами и </w:t>
      </w:r>
      <w:r w:rsidR="00471FE7">
        <w:rPr>
          <w:rFonts w:ascii="Times New Roman" w:eastAsia="Calibri" w:hAnsi="Times New Roman"/>
          <w:sz w:val="28"/>
          <w:szCs w:val="28"/>
        </w:rPr>
        <w:t>их</w:t>
      </w:r>
      <w:r w:rsidR="00D14E40">
        <w:rPr>
          <w:rFonts w:ascii="Times New Roman" w:eastAsia="Calibri" w:hAnsi="Times New Roman"/>
          <w:sz w:val="28"/>
          <w:szCs w:val="28"/>
        </w:rPr>
        <w:t xml:space="preserve"> дополнительной периферией</w:t>
      </w:r>
      <w:r w:rsidR="009E1323">
        <w:rPr>
          <w:rFonts w:ascii="Times New Roman" w:eastAsia="Calibri" w:hAnsi="Times New Roman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z w:val="28"/>
          <w:szCs w:val="28"/>
        </w:rPr>
        <w:t>должны быть оснащены порошковыми огнетушителями типа ОП-4.</w:t>
      </w:r>
    </w:p>
    <w:p w14:paraId="55C81A3D" w14:textId="08BAD638" w:rsidR="00B81C8E" w:rsidRPr="00596DEA" w:rsidRDefault="00A34E63" w:rsidP="003B40A0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lastRenderedPageBreak/>
        <w:t>При возникновении пожароопасной ситуации страдает здоровье человека, материальные ценности и экологическая среда. В современных зданиях, в строительстве которых применяются всё в больших количествах полимерные и синтетические материалы, во время пожара образуются токсичные продукты горения. Огромное количество химически активных газов (окись углерода, оксиды азота, диоксид серы), органических соединений (аммиак, формальдегид, фенолы) и других вредных для окружающей среды веществ. По статистическим данным в продуктах горения содержится 50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–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150 видов химических соединений, оказывающих токсическое воздействие. Все они попадают в воздух окружающей среды и переносятся вместе с воздушными массами.</w:t>
      </w:r>
    </w:p>
    <w:sectPr w:rsidR="00B81C8E" w:rsidRPr="00596DEA" w:rsidSect="00427B15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379A" w14:textId="77777777" w:rsidR="00527EC4" w:rsidRDefault="00527EC4" w:rsidP="00FC7E82">
      <w:pPr>
        <w:spacing w:after="0" w:line="240" w:lineRule="auto"/>
      </w:pPr>
      <w:r>
        <w:separator/>
      </w:r>
    </w:p>
  </w:endnote>
  <w:endnote w:type="continuationSeparator" w:id="0">
    <w:p w14:paraId="4400168D" w14:textId="77777777" w:rsidR="00527EC4" w:rsidRDefault="00527EC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266065"/>
      <w:docPartObj>
        <w:docPartGallery w:val="Page Numbers (Bottom of Page)"/>
        <w:docPartUnique/>
      </w:docPartObj>
    </w:sdtPr>
    <w:sdtEndPr/>
    <w:sdtContent>
      <w:p w14:paraId="1685051D" w14:textId="2A78D115" w:rsidR="00191970" w:rsidRDefault="001919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1A67FC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1A67FC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1A67FC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1A67FC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1A67FC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74C45366" w:rsidR="00A575BD" w:rsidRPr="00AD592A" w:rsidRDefault="00717881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1A67FC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 w:rsidRPr="00AD592A">
            <w:rPr>
              <w:rFonts w:ascii="ISOCPEUR" w:hAnsi="ISOCPEUR"/>
              <w:i/>
              <w:spacing w:val="-18"/>
              <w:szCs w:val="20"/>
            </w:rPr>
            <w:t>Талыгина</w:t>
          </w:r>
          <w:proofErr w:type="spellEnd"/>
          <w:r w:rsidRPr="00AD592A">
            <w:rPr>
              <w:rFonts w:ascii="ISOCPEUR" w:hAnsi="ISOCPEUR"/>
              <w:i/>
              <w:spacing w:val="-18"/>
              <w:szCs w:val="20"/>
            </w:rPr>
            <w:t xml:space="preserve">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5A47BE5C" w:rsidR="00A575BD" w:rsidRPr="00AD592A" w:rsidRDefault="00717881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13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1A67FC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5B709D4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191970">
            <w:rPr>
              <w:rFonts w:ascii="ISOCPEUR" w:hAnsi="ISOCPEUR"/>
              <w:i/>
              <w:spacing w:val="-20"/>
            </w:rPr>
            <w:t>4</w:t>
          </w:r>
          <w:r w:rsidR="004B479B">
            <w:rPr>
              <w:rFonts w:ascii="ISOCPEUR" w:hAnsi="ISOCPEUR"/>
              <w:i/>
              <w:spacing w:val="-20"/>
              <w:lang w:val="en-US"/>
            </w:rPr>
            <w:t>8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3521159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9913BC">
            <w:rPr>
              <w:rFonts w:ascii="ISOCPEUR" w:hAnsi="ISOCPEUR"/>
              <w:i/>
              <w:spacing w:val="-20"/>
            </w:rPr>
            <w:t>8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1A67FC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1A67FC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>
            <w:rPr>
              <w:rFonts w:ascii="ISOCPEUR" w:hAnsi="ISOCPEUR"/>
              <w:i/>
            </w:rPr>
            <w:t>Н.контр</w:t>
          </w:r>
          <w:proofErr w:type="spell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F81832E" w:rsidR="00A575BD" w:rsidRPr="00501261" w:rsidRDefault="00405B8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1A67FC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59FCDBFF" w:rsidR="00A575BD" w:rsidRPr="00501261" w:rsidRDefault="00405B8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A5CC" w14:textId="77777777" w:rsidR="00527EC4" w:rsidRDefault="00527EC4" w:rsidP="00FC7E82">
      <w:pPr>
        <w:spacing w:after="0" w:line="240" w:lineRule="auto"/>
      </w:pPr>
      <w:r>
        <w:separator/>
      </w:r>
    </w:p>
  </w:footnote>
  <w:footnote w:type="continuationSeparator" w:id="0">
    <w:p w14:paraId="01C60DA5" w14:textId="77777777" w:rsidR="00527EC4" w:rsidRDefault="00527EC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6B0E2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5017833">
    <w:abstractNumId w:val="6"/>
  </w:num>
  <w:num w:numId="2" w16cid:durableId="584071668">
    <w:abstractNumId w:val="5"/>
  </w:num>
  <w:num w:numId="3" w16cid:durableId="941104468">
    <w:abstractNumId w:val="1"/>
  </w:num>
  <w:num w:numId="4" w16cid:durableId="1695879233">
    <w:abstractNumId w:val="4"/>
  </w:num>
  <w:num w:numId="5" w16cid:durableId="757362390">
    <w:abstractNumId w:val="7"/>
  </w:num>
  <w:num w:numId="6" w16cid:durableId="1979140742">
    <w:abstractNumId w:val="2"/>
  </w:num>
  <w:num w:numId="7" w16cid:durableId="1946620365">
    <w:abstractNumId w:val="3"/>
  </w:num>
  <w:num w:numId="8" w16cid:durableId="112885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75101"/>
    <w:rsid w:val="00080C52"/>
    <w:rsid w:val="00086B9B"/>
    <w:rsid w:val="000A1ABA"/>
    <w:rsid w:val="000C5184"/>
    <w:rsid w:val="000D13AF"/>
    <w:rsid w:val="000D4CF0"/>
    <w:rsid w:val="000F47C0"/>
    <w:rsid w:val="001222D9"/>
    <w:rsid w:val="00126529"/>
    <w:rsid w:val="001405AB"/>
    <w:rsid w:val="00146222"/>
    <w:rsid w:val="001553E9"/>
    <w:rsid w:val="001607A3"/>
    <w:rsid w:val="0018047C"/>
    <w:rsid w:val="00183EC9"/>
    <w:rsid w:val="00191970"/>
    <w:rsid w:val="001A23E0"/>
    <w:rsid w:val="001A67FC"/>
    <w:rsid w:val="001A6E93"/>
    <w:rsid w:val="001B0DEA"/>
    <w:rsid w:val="001C2BA4"/>
    <w:rsid w:val="001D3219"/>
    <w:rsid w:val="001D38CA"/>
    <w:rsid w:val="001F39BC"/>
    <w:rsid w:val="002035A0"/>
    <w:rsid w:val="0021123E"/>
    <w:rsid w:val="00252FAA"/>
    <w:rsid w:val="00256C27"/>
    <w:rsid w:val="002571C3"/>
    <w:rsid w:val="002638AA"/>
    <w:rsid w:val="00276A3F"/>
    <w:rsid w:val="0028505F"/>
    <w:rsid w:val="00285C8A"/>
    <w:rsid w:val="00293587"/>
    <w:rsid w:val="002B1327"/>
    <w:rsid w:val="002C4654"/>
    <w:rsid w:val="002D23F7"/>
    <w:rsid w:val="002D53A9"/>
    <w:rsid w:val="002E0433"/>
    <w:rsid w:val="00313534"/>
    <w:rsid w:val="0032516E"/>
    <w:rsid w:val="00353DB8"/>
    <w:rsid w:val="003605DC"/>
    <w:rsid w:val="003642DC"/>
    <w:rsid w:val="00370BCE"/>
    <w:rsid w:val="00372FFE"/>
    <w:rsid w:val="00397C10"/>
    <w:rsid w:val="003A68A3"/>
    <w:rsid w:val="003B40A0"/>
    <w:rsid w:val="003C4BA1"/>
    <w:rsid w:val="003D0B53"/>
    <w:rsid w:val="003E2742"/>
    <w:rsid w:val="00405471"/>
    <w:rsid w:val="00405B8F"/>
    <w:rsid w:val="00413827"/>
    <w:rsid w:val="00427B15"/>
    <w:rsid w:val="00457675"/>
    <w:rsid w:val="00471FE7"/>
    <w:rsid w:val="00495920"/>
    <w:rsid w:val="004B479B"/>
    <w:rsid w:val="004B6DD7"/>
    <w:rsid w:val="004C4FC9"/>
    <w:rsid w:val="004E0993"/>
    <w:rsid w:val="00501261"/>
    <w:rsid w:val="00501661"/>
    <w:rsid w:val="005052F1"/>
    <w:rsid w:val="00512E1A"/>
    <w:rsid w:val="00522784"/>
    <w:rsid w:val="00524586"/>
    <w:rsid w:val="00527EC4"/>
    <w:rsid w:val="005327FB"/>
    <w:rsid w:val="00533D92"/>
    <w:rsid w:val="00536697"/>
    <w:rsid w:val="00560C86"/>
    <w:rsid w:val="005741BE"/>
    <w:rsid w:val="00594183"/>
    <w:rsid w:val="00596DEA"/>
    <w:rsid w:val="005C023A"/>
    <w:rsid w:val="005E1279"/>
    <w:rsid w:val="0061366A"/>
    <w:rsid w:val="006206C5"/>
    <w:rsid w:val="00633F26"/>
    <w:rsid w:val="0064352C"/>
    <w:rsid w:val="006774C2"/>
    <w:rsid w:val="00683CF5"/>
    <w:rsid w:val="006926A1"/>
    <w:rsid w:val="006A343D"/>
    <w:rsid w:val="006A7645"/>
    <w:rsid w:val="006B104E"/>
    <w:rsid w:val="006C1C26"/>
    <w:rsid w:val="00712A84"/>
    <w:rsid w:val="00717881"/>
    <w:rsid w:val="007252EF"/>
    <w:rsid w:val="00734E53"/>
    <w:rsid w:val="00747C02"/>
    <w:rsid w:val="007725DB"/>
    <w:rsid w:val="007944E7"/>
    <w:rsid w:val="007A064B"/>
    <w:rsid w:val="007A532D"/>
    <w:rsid w:val="007C0D01"/>
    <w:rsid w:val="00803123"/>
    <w:rsid w:val="0080459A"/>
    <w:rsid w:val="008142B6"/>
    <w:rsid w:val="008207A2"/>
    <w:rsid w:val="00821881"/>
    <w:rsid w:val="00831857"/>
    <w:rsid w:val="00836C99"/>
    <w:rsid w:val="008470F6"/>
    <w:rsid w:val="00851E4E"/>
    <w:rsid w:val="00862640"/>
    <w:rsid w:val="00891903"/>
    <w:rsid w:val="00892CBD"/>
    <w:rsid w:val="00895CBD"/>
    <w:rsid w:val="008D47F3"/>
    <w:rsid w:val="008D497D"/>
    <w:rsid w:val="008E3933"/>
    <w:rsid w:val="008E3E5B"/>
    <w:rsid w:val="008F2A6D"/>
    <w:rsid w:val="0091014D"/>
    <w:rsid w:val="00910AD4"/>
    <w:rsid w:val="00926D66"/>
    <w:rsid w:val="00942DD2"/>
    <w:rsid w:val="00952947"/>
    <w:rsid w:val="00953B00"/>
    <w:rsid w:val="00970338"/>
    <w:rsid w:val="0097364E"/>
    <w:rsid w:val="0097424E"/>
    <w:rsid w:val="009823E3"/>
    <w:rsid w:val="009913BC"/>
    <w:rsid w:val="009C1590"/>
    <w:rsid w:val="009E1323"/>
    <w:rsid w:val="009F38B5"/>
    <w:rsid w:val="009F657F"/>
    <w:rsid w:val="00A13EE8"/>
    <w:rsid w:val="00A34E63"/>
    <w:rsid w:val="00A5317F"/>
    <w:rsid w:val="00A54E58"/>
    <w:rsid w:val="00A55ED7"/>
    <w:rsid w:val="00A56839"/>
    <w:rsid w:val="00A575BD"/>
    <w:rsid w:val="00A81CD1"/>
    <w:rsid w:val="00A87BFC"/>
    <w:rsid w:val="00AB400F"/>
    <w:rsid w:val="00AD040F"/>
    <w:rsid w:val="00AD4B77"/>
    <w:rsid w:val="00AD592A"/>
    <w:rsid w:val="00AE0C87"/>
    <w:rsid w:val="00B26E6A"/>
    <w:rsid w:val="00B40313"/>
    <w:rsid w:val="00B43624"/>
    <w:rsid w:val="00B5427A"/>
    <w:rsid w:val="00B779B8"/>
    <w:rsid w:val="00B81C8E"/>
    <w:rsid w:val="00B94578"/>
    <w:rsid w:val="00BC0A83"/>
    <w:rsid w:val="00BD1CBF"/>
    <w:rsid w:val="00BD5F0D"/>
    <w:rsid w:val="00BE233B"/>
    <w:rsid w:val="00C11FE5"/>
    <w:rsid w:val="00C14570"/>
    <w:rsid w:val="00C1678D"/>
    <w:rsid w:val="00C218F1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1E1D"/>
    <w:rsid w:val="00CC0977"/>
    <w:rsid w:val="00D13D23"/>
    <w:rsid w:val="00D14E40"/>
    <w:rsid w:val="00D56585"/>
    <w:rsid w:val="00D57710"/>
    <w:rsid w:val="00D71654"/>
    <w:rsid w:val="00D72662"/>
    <w:rsid w:val="00D976D7"/>
    <w:rsid w:val="00DB3EB9"/>
    <w:rsid w:val="00DB6E19"/>
    <w:rsid w:val="00DC077A"/>
    <w:rsid w:val="00DF1593"/>
    <w:rsid w:val="00E00FEF"/>
    <w:rsid w:val="00E4308E"/>
    <w:rsid w:val="00E476A6"/>
    <w:rsid w:val="00E90FE7"/>
    <w:rsid w:val="00E942CC"/>
    <w:rsid w:val="00E97572"/>
    <w:rsid w:val="00E977FC"/>
    <w:rsid w:val="00EC5265"/>
    <w:rsid w:val="00ED16E9"/>
    <w:rsid w:val="00F0226B"/>
    <w:rsid w:val="00F2564D"/>
    <w:rsid w:val="00F32514"/>
    <w:rsid w:val="00F52E46"/>
    <w:rsid w:val="00F73D46"/>
    <w:rsid w:val="00FA00C3"/>
    <w:rsid w:val="00FB776A"/>
    <w:rsid w:val="00FC53EB"/>
    <w:rsid w:val="00FC7E82"/>
    <w:rsid w:val="00FE36E6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5681-3809-4E9E-BFB2-8504DC89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31</cp:revision>
  <cp:lastPrinted>2020-06-12T11:10:00Z</cp:lastPrinted>
  <dcterms:created xsi:type="dcterms:W3CDTF">2022-06-08T04:49:00Z</dcterms:created>
  <dcterms:modified xsi:type="dcterms:W3CDTF">2022-06-16T18:35:00Z</dcterms:modified>
</cp:coreProperties>
</file>