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PROST v2 Pension Microsimulation Model</w:t>
      </w:r>
    </w:p>
    <w:p>
      <w:pPr>
        <w:pStyle w:val="Subtitle"/>
      </w:pPr>
      <w:r>
        <w:t xml:space="preserve">Methodology Note for Peer Reviewers</w:t>
      </w:r>
    </w:p>
    <w:p>
      <w:pPr>
        <w:pStyle w:val="Author"/>
      </w:pPr>
      <w:r>
        <w:t xml:space="preserve">World Bank — PROST Team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urpose-of-this-note"/>
    <w:p>
      <w:pPr>
        <w:pStyle w:val="Heading1"/>
      </w:pPr>
      <w:r>
        <w:t xml:space="preserve">Purpose of this note</w:t>
      </w:r>
    </w:p>
    <w:p>
      <w:pPr>
        <w:pStyle w:val="FirstParagraph"/>
      </w:pPr>
      <w:r>
        <w:t xml:space="preserve">This note is written for</w:t>
      </w:r>
      <w:r>
        <w:t xml:space="preserve"> </w:t>
      </w:r>
      <w:r>
        <w:rPr>
          <w:b/>
          <w:bCs/>
        </w:rPr>
        <w:t xml:space="preserve">peer reviewers</w:t>
      </w:r>
      <w:r>
        <w:t xml:space="preserve"> </w:t>
      </w:r>
      <w:r>
        <w:t xml:space="preserve">assessing the methodological</w:t>
      </w:r>
      <w:r>
        <w:t xml:space="preserve"> </w:t>
      </w:r>
      <w:r>
        <w:t xml:space="preserve">soundness of the PROST v2 pension microsimulation model for Mexico. It is a</w:t>
      </w:r>
      <w:r>
        <w:t xml:space="preserve"> </w:t>
      </w:r>
      <w:r>
        <w:t xml:space="preserve">companion to the full</w:t>
      </w:r>
      <w:r>
        <w:t xml:space="preserve"> </w:t>
      </w:r>
      <w:r>
        <w:rPr>
          <w:i/>
          <w:iCs/>
        </w:rPr>
        <w:t xml:space="preserve">Technical Methodology Document</w:t>
      </w:r>
      <w:r>
        <w:t xml:space="preserve">: rather than re-describing</w:t>
      </w:r>
      <w:r>
        <w:t xml:space="preserve"> </w:t>
      </w:r>
      <w:r>
        <w:t xml:space="preserve">every line of code, it foregrounds the</w:t>
      </w:r>
      <w:r>
        <w:t xml:space="preserve"> </w:t>
      </w:r>
      <w:r>
        <w:rPr>
          <w:b/>
          <w:bCs/>
        </w:rPr>
        <w:t xml:space="preserve">design choices, statistical</w:t>
      </w:r>
      <w:r>
        <w:rPr>
          <w:b/>
          <w:bCs/>
        </w:rPr>
        <w:t xml:space="preserve"> </w:t>
      </w:r>
      <w:r>
        <w:rPr>
          <w:b/>
          <w:bCs/>
        </w:rPr>
        <w:t xml:space="preserve">assumptions, identification, calibration, and limitations</w:t>
      </w:r>
      <w:r>
        <w:t xml:space="preserve"> </w:t>
      </w:r>
      <w:r>
        <w:t xml:space="preserve">that a reviewer would</w:t>
      </w:r>
      <w:r>
        <w:t xml:space="preserve"> </w:t>
      </w:r>
      <w:r>
        <w:t xml:space="preserve">want to scrutinize, and it lists</w:t>
      </w:r>
      <w:r>
        <w:t xml:space="preserve"> </w:t>
      </w:r>
      <w:r>
        <w:rPr>
          <w:b/>
          <w:bCs/>
        </w:rPr>
        <w:t xml:space="preserve">specific open questions</w:t>
      </w:r>
      <w:r>
        <w:t xml:space="preserve"> </w:t>
      </w:r>
      <w:r>
        <w:t xml:space="preserve">at the end of each</w:t>
      </w:r>
      <w:r>
        <w:t xml:space="preserve"> </w:t>
      </w:r>
      <w:r>
        <w:t xml:space="preserve">section. Equations and parameter values are reproduced where they are material to</w:t>
      </w:r>
      <w:r>
        <w:t xml:space="preserve"> </w:t>
      </w:r>
      <w:r>
        <w:t xml:space="preserve">the assessment; the full algorithmic detail is in the companion document.</w:t>
      </w:r>
    </w:p>
    <w:p>
      <w:pPr>
        <w:pStyle w:val="BodyText"/>
      </w:pPr>
      <w:r>
        <w:t xml:space="preserve">Throughout, items the code itself flags as not-yet-implemented are marked</w:t>
      </w:r>
      <w:r>
        <w:t xml:space="preserve"> </w:t>
      </w:r>
      <w:r>
        <w:rPr>
          <w:b/>
          <w:bCs/>
        </w:rPr>
        <w:t xml:space="preserve">[PENDING]</w:t>
      </w:r>
      <w:r>
        <w:t xml:space="preserve">. Reviewers should treat the current model as a working-age and</w:t>
      </w:r>
      <w:r>
        <w:t xml:space="preserve"> </w:t>
      </w:r>
      <w:r>
        <w:t xml:space="preserve">old-age</w:t>
      </w:r>
      <w:r>
        <w:t xml:space="preserve"> </w:t>
      </w:r>
      <w:r>
        <w:rPr>
          <w:b/>
          <w:bCs/>
        </w:rPr>
        <w:t xml:space="preserve">defined-benefit</w:t>
      </w:r>
      <w:r>
        <w:t xml:space="preserve"> </w:t>
      </w:r>
      <w:r>
        <w:t xml:space="preserve">projection engine; disability, survivorship, and</w:t>
      </w:r>
      <w:r>
        <w:t xml:space="preserve"> </w:t>
      </w:r>
      <w:r>
        <w:t xml:space="preserve">defined-contribution accumulation are scaffolded but inactive.</w:t>
      </w:r>
    </w:p>
    <w:p>
      <w:r>
        <w:pict>
          <v:rect style="width:0;height:1.5pt" o:hralign="center" o:hrstd="t" o:hr="t"/>
        </w:pict>
      </w:r>
    </w:p>
    <w:bookmarkEnd w:id="9"/>
    <w:bookmarkStart w:id="10" w:name="model-class-and-intended-use"/>
    <w:p>
      <w:pPr>
        <w:pStyle w:val="Heading1"/>
      </w:pPr>
      <w:r>
        <w:t xml:space="preserve">1. Model class and intended use</w:t>
      </w:r>
    </w:p>
    <w:p>
      <w:pPr>
        <w:pStyle w:val="FirstParagraph"/>
      </w:pPr>
      <w:r>
        <w:t xml:space="preserve">PROST v2 is a</w:t>
      </w:r>
      <w:r>
        <w:t xml:space="preserve"> </w:t>
      </w:r>
      <w:r>
        <w:rPr>
          <w:b/>
          <w:bCs/>
        </w:rPr>
        <w:t xml:space="preserve">stochastic, dynamic microsimulation</w:t>
      </w:r>
      <w:r>
        <w:t xml:space="preserve"> </w:t>
      </w:r>
      <w:r>
        <w:t xml:space="preserve">of a national pension</w:t>
      </w:r>
      <w:r>
        <w:t xml:space="preserve"> </w:t>
      </w:r>
      <w:r>
        <w:t xml:space="preserve">scheme. It maintains an individual-level state vector for each affiliate and</w:t>
      </w:r>
      <w:r>
        <w:t xml:space="preserve"> </w:t>
      </w:r>
      <w:r>
        <w:t xml:space="preserve">pensioner and advances it on a</w:t>
      </w:r>
      <w:r>
        <w:t xml:space="preserve"> </w:t>
      </w:r>
      <w:r>
        <w:rPr>
          <w:b/>
          <w:bCs/>
        </w:rPr>
        <w:t xml:space="preserve">monthly</w:t>
      </w:r>
      <w:r>
        <w:t xml:space="preserve"> </w:t>
      </w:r>
      <w:r>
        <w:t xml:space="preserve">time step for demographic and</w:t>
      </w:r>
      <w:r>
        <w:t xml:space="preserve"> </w:t>
      </w:r>
      <w:r>
        <w:t xml:space="preserve">labor-market events and an</w:t>
      </w:r>
      <w:r>
        <w:t xml:space="preserve"> </w:t>
      </w:r>
      <w:r>
        <w:rPr>
          <w:b/>
          <w:bCs/>
        </w:rPr>
        <w:t xml:space="preserve">annual</w:t>
      </w:r>
      <w:r>
        <w:t xml:space="preserve"> </w:t>
      </w:r>
      <w:r>
        <w:t xml:space="preserve">time step for wages, benefits, and</w:t>
      </w:r>
      <w:r>
        <w:t xml:space="preserve"> </w:t>
      </w:r>
      <w:r>
        <w:t xml:space="preserve">indexation, over an 80-year horizon (base year 2024; projection 2025–2104).</w:t>
      </w:r>
    </w:p>
    <w:p>
      <w:pPr>
        <w:pStyle w:val="BodyText"/>
      </w:pPr>
      <w:r>
        <w:t xml:space="preserve">The intended use is</w:t>
      </w:r>
      <w:r>
        <w:t xml:space="preserve"> </w:t>
      </w:r>
      <w:r>
        <w:rPr>
          <w:b/>
          <w:bCs/>
        </w:rPr>
        <w:t xml:space="preserve">fiscal and actuarial projection</w:t>
      </w:r>
      <w:r>
        <w:t xml:space="preserve"> </w:t>
      </w:r>
      <w:r>
        <w:t xml:space="preserve">of system-level</w:t>
      </w:r>
      <w:r>
        <w:t xml:space="preserve"> </w:t>
      </w:r>
      <w:r>
        <w:t xml:space="preserve">aggregates — number of contributors and pensioners, contribution and benefit</w:t>
      </w:r>
      <w:r>
        <w:t xml:space="preserve"> </w:t>
      </w:r>
      <w:r>
        <w:t xml:space="preserve">flows, replacement rates — under deterministic macro and policy scenarios, with</w:t>
      </w:r>
      <w:r>
        <w:t xml:space="preserve"> </w:t>
      </w:r>
      <w:r>
        <w:t xml:space="preserve">behavioral and demographic uncertainty handled by Monte-Carlo draws.</w:t>
      </w:r>
    </w:p>
    <w:p>
      <w:pPr>
        <w:pStyle w:val="BodyText"/>
      </w:pPr>
      <w:r>
        <w:rPr>
          <w:b/>
          <w:bCs/>
        </w:rPr>
        <w:t xml:space="preserve">Why microsimulation rather than a cohort-component / cell model.</w:t>
      </w:r>
      <w:r>
        <w:t xml:space="preserve"> </w:t>
      </w:r>
      <w:r>
        <w:t xml:space="preserve">The scheme’s</w:t>
      </w:r>
      <w:r>
        <w:t xml:space="preserve"> </w:t>
      </w:r>
      <w:r>
        <w:t xml:space="preserve">benefit formula depends nonlinearly on individual contribution histories</w:t>
      </w:r>
      <w:r>
        <w:t xml:space="preserve"> </w:t>
      </w:r>
      <w:r>
        <w:t xml:space="preserve">(length of service, reference wage, early/late-retirement adjustments) and on</w:t>
      </w:r>
      <w:r>
        <w:t xml:space="preserve"> </w:t>
      </w:r>
      <w:r>
        <w:t xml:space="preserve">the joint distribution of tenure, density, and wage. A cell model would require</w:t>
      </w:r>
      <w:r>
        <w:t xml:space="preserve"> </w:t>
      </w:r>
      <w:r>
        <w:t xml:space="preserve">strong distributional assumptions to track these interactions; microsimulation</w:t>
      </w:r>
      <w:r>
        <w:t xml:space="preserve"> </w:t>
      </w:r>
      <w:r>
        <w:t xml:space="preserve">represents them directly. The cost is Monte-Carlo (sampling) error, addressed in</w:t>
      </w:r>
      <w:r>
        <w:t xml:space="preserve"> </w:t>
      </w:r>
      <w:r>
        <w:t xml:space="preserve">§5.</w:t>
      </w:r>
    </w:p>
    <w:p>
      <w:pPr>
        <w:pStyle w:val="BlockText"/>
      </w:pPr>
      <w:r>
        <w:rPr>
          <w:b/>
          <w:bCs/>
        </w:rPr>
        <w:t xml:space="preserve">For reviewers.</w:t>
      </w:r>
      <w:r>
        <w:t xml:space="preserve"> </w:t>
      </w:r>
      <w:r>
        <w:t xml:space="preserve">(i) Is microsimulation justified given the data, or would a</w:t>
      </w:r>
      <w:r>
        <w:t xml:space="preserve"> </w:t>
      </w:r>
      <w:r>
        <w:t xml:space="preserve">well-specified cell model suffice for the headline aggregates? (ii) Is the</w:t>
      </w:r>
      <w:r>
        <w:t xml:space="preserve"> </w:t>
      </w:r>
      <w:r>
        <w:t xml:space="preserve">80-year horizon credible given that all behavioral models are estimated on a</w:t>
      </w:r>
      <w:r>
        <w:t xml:space="preserve"> </w:t>
      </w:r>
      <w:r>
        <w:t xml:space="preserve">≤10-year window (§3)?</w:t>
      </w:r>
    </w:p>
    <w:p>
      <w:r>
        <w:pict>
          <v:rect style="width:0;height:1.5pt" o:hralign="center" o:hrstd="t" o:hr="t"/>
        </w:pict>
      </w:r>
    </w:p>
    <w:bookmarkEnd w:id="10"/>
    <w:bookmarkStart w:id="13" w:name="X3c01720fe15dbbef906bd6e2f8dfad90ca759a9"/>
    <w:p>
      <w:pPr>
        <w:pStyle w:val="Heading1"/>
      </w:pPr>
      <w:r>
        <w:t xml:space="preserve">2. Data sources and the</w:t>
      </w:r>
      <w:r>
        <w:t xml:space="preserve"> </w:t>
      </w:r>
      <w:r>
        <w:t xml:space="preserve">“data environment”</w:t>
      </w:r>
      <w:r>
        <w:t xml:space="preserve"> </w:t>
      </w:r>
      <w:r>
        <w:t xml:space="preserve">design</w:t>
      </w:r>
    </w:p>
    <w:bookmarkStart w:id="11" w:name="sources"/>
    <w:p>
      <w:pPr>
        <w:pStyle w:val="Heading2"/>
      </w:pPr>
      <w:r>
        <w:t xml:space="preserve">2.1 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microdata:</w:t>
      </w:r>
      <w:r>
        <w:t xml:space="preserve"> </w:t>
      </w:r>
      <w:r>
        <w:t xml:space="preserve">an IMSS affiliate longitudinal panel (wages, age, sex,</w:t>
      </w:r>
      <w:r>
        <w:t xml:space="preserve"> </w:t>
      </w:r>
      <w:r>
        <w:t xml:space="preserve">tenure, contribution density) and a beneficiary file (pension amounts and</w:t>
      </w:r>
      <w:r>
        <w:t xml:space="preserve"> </w:t>
      </w:r>
      <w:r>
        <w:t xml:space="preserve">types). These drive the base-year population, the affiliation rates, the</w:t>
      </w:r>
      <w:r>
        <w:t xml:space="preserve"> </w:t>
      </w:r>
      <w:r>
        <w:t xml:space="preserve">transition models, the wage profiles, and the incidence rates.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inputs:</w:t>
      </w:r>
      <w:r>
        <w:t xml:space="preserve"> </w:t>
      </w:r>
      <w:r>
        <w:t xml:space="preserve">UN/national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(historical + projected),</w:t>
      </w:r>
      <w:r>
        <w:t xml:space="preserve"> </w:t>
      </w:r>
      <w:r>
        <w:rPr>
          <w:b/>
          <w:bCs/>
        </w:rPr>
        <w:t xml:space="preserve">mortality</w:t>
      </w:r>
      <w:r>
        <w:t xml:space="preserve"> </w:t>
      </w:r>
      <w:r>
        <w:t xml:space="preserve">(observed + projected), aggregate</w:t>
      </w:r>
      <w:r>
        <w:t xml:space="preserve"> </w:t>
      </w:r>
      <w:r>
        <w:rPr>
          <w:b/>
          <w:bCs/>
        </w:rPr>
        <w:t xml:space="preserve">wage growth</w:t>
      </w:r>
      <w:r>
        <w:t xml:space="preserve"> </w:t>
      </w:r>
      <w:r>
        <w:t xml:space="preserve">(CPI series),</w:t>
      </w:r>
      <w:r>
        <w:t xml:space="preserve"> </w:t>
      </w:r>
      <w:r>
        <w:t xml:space="preserve">and user-supplied</w:t>
      </w:r>
      <w:r>
        <w:t xml:space="preserve"> </w:t>
      </w:r>
      <w:r>
        <w:rPr>
          <w:b/>
          <w:bCs/>
        </w:rPr>
        <w:t xml:space="preserve">labor-market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indexation</w:t>
      </w:r>
      <w:r>
        <w:t xml:space="preserve"> </w:t>
      </w:r>
      <w:r>
        <w:t xml:space="preserve">assumption files.</w:t>
      </w:r>
    </w:p>
    <w:bookmarkEnd w:id="11"/>
    <w:bookmarkStart w:id="12" w:name="the-four-data-environments"/>
    <w:p>
      <w:pPr>
        <w:pStyle w:val="Heading2"/>
      </w:pPr>
      <w:r>
        <w:t xml:space="preserve">2.2 The four data environments</w:t>
      </w:r>
    </w:p>
    <w:p>
      <w:pPr>
        <w:pStyle w:val="FirstParagraph"/>
      </w:pPr>
      <w:r>
        <w:t xml:space="preserve">A distinctive design feature is that the two data-hungry preprocessing steps —</w:t>
      </w:r>
      <w:r>
        <w:t xml:space="preserve"> </w:t>
      </w:r>
      <w:r>
        <w:t xml:space="preserve">affiliation rates (step 03) and transition models (step 04) — each ship in</w:t>
      </w:r>
      <w:r>
        <w:t xml:space="preserve"> </w:t>
      </w:r>
      <w:r>
        <w:rPr>
          <w:b/>
          <w:bCs/>
        </w:rPr>
        <w:t xml:space="preserve">four variants</w:t>
      </w:r>
      <w:r>
        <w:t xml:space="preserve"> </w:t>
      </w:r>
      <w:r>
        <w:t xml:space="preserve">keyed to how much longitudinal information is available:</w:t>
      </w:r>
      <w:r>
        <w:t xml:space="preserve"> </w:t>
      </w:r>
      <w:r>
        <w:rPr>
          <w:i/>
          <w:iCs/>
        </w:rPr>
        <w:t xml:space="preserve">full</w:t>
      </w:r>
      <w:r>
        <w:t xml:space="preserve">,</w:t>
      </w:r>
      <w:r>
        <w:t xml:space="preserve"> </w:t>
      </w:r>
      <w:r>
        <w:rPr>
          <w:i/>
          <w:iCs/>
        </w:rPr>
        <w:t xml:space="preserve">very low data</w:t>
      </w:r>
      <w:r>
        <w:t xml:space="preserve">,</w:t>
      </w:r>
      <w:r>
        <w:t xml:space="preserve"> </w:t>
      </w:r>
      <w:r>
        <w:rPr>
          <w:i/>
          <w:iCs/>
        </w:rPr>
        <w:t xml:space="preserve">low data</w:t>
      </w:r>
      <w:r>
        <w:t xml:space="preserve">,</w:t>
      </w:r>
      <w:r>
        <w:t xml:space="preserve"> </w:t>
      </w:r>
      <w:r>
        <w:rPr>
          <w:i/>
          <w:iCs/>
        </w:rPr>
        <w:t xml:space="preserve">extremely low data</w:t>
      </w:r>
      <w:r>
        <w:t xml:space="preserve">. The intent is</w:t>
      </w:r>
      <w:r>
        <w:t xml:space="preserve"> </w:t>
      </w:r>
      <w:r>
        <w:t xml:space="preserve">portability to countries where only a cross-section with a tenure variable, or a</w:t>
      </w:r>
      <w:r>
        <w:t xml:space="preserve"> </w:t>
      </w:r>
      <w:r>
        <w:t xml:space="preserve">tenure-plus-density cross-section, is available.</w:t>
      </w:r>
    </w:p>
    <w:p>
      <w:pPr>
        <w:pStyle w:val="BodyText"/>
      </w:pPr>
      <w:r>
        <w:t xml:space="preserve">The fallbacks are not innocuous, and reviewers should weigh them explicitly: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Tenure-based reconstruction (low/very-low/extremely-low).</w:t>
      </w:r>
      <w:r>
        <w:t xml:space="preserve"> </w:t>
      </w:r>
      <w:r>
        <w:t xml:space="preserve">When the panel is</w:t>
      </w:r>
      <w:r>
        <w:t xml:space="preserve"> </w:t>
      </w:r>
      <w:r>
        <w:t xml:space="preserve">absent, the year and age of affiliation are imputed as</w:t>
      </w:r>
      <w:r>
        <w:t xml:space="preserve"> </w:t>
      </w:r>
      <w:r>
        <w:rPr>
          <w:rStyle w:val="VerbatimChar"/>
        </w:rPr>
        <w:t xml:space="preserve">year − floor(loa/12)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max(age − floor(loa/12), 0)</w:t>
      </w:r>
      <w:r>
        <w:t xml:space="preserve">. This assumes a</w:t>
      </w:r>
      <w:r>
        <w:t xml:space="preserve"> </w:t>
      </w:r>
      <w:r>
        <w:rPr>
          <w:b/>
          <w:bCs/>
        </w:rPr>
        <w:t xml:space="preserve">single, uninterrupted affiliation spell</w:t>
      </w:r>
      <w:r>
        <w:t xml:space="preserve"> </w:t>
      </w:r>
      <w:r>
        <w:t xml:space="preserve">and ignores re-entry, so it will</w:t>
      </w:r>
      <w:r>
        <w:t xml:space="preserve"> </w:t>
      </w:r>
      <w:r>
        <w:t xml:space="preserve">misdate anyone with gapped careers and will compress the age-at-entry</w:t>
      </w:r>
      <w:r>
        <w:t xml:space="preserve"> </w:t>
      </w:r>
      <w:r>
        <w:t xml:space="preserve">distribution.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duplication (very-low).</w:t>
      </w:r>
      <w:r>
        <w:t xml:space="preserve"> </w:t>
      </w:r>
      <w:r>
        <w:t xml:space="preserve">Without the December-only filter, every</w:t>
      </w:r>
      <w:r>
        <w:t xml:space="preserve"> </w:t>
      </w:r>
      <w:r>
        <w:t xml:space="preserve">monthly observation of the same person contributes to the new-affiliate count,</w:t>
      </w:r>
      <w:r>
        <w:t xml:space="preserve"> </w:t>
      </w:r>
      <w:r>
        <w:t xml:space="preserve">mechanically inflating flows. The</w:t>
      </w:r>
      <w:r>
        <w:t xml:space="preserve"> </w:t>
      </w:r>
      <w:r>
        <w:rPr>
          <w:i/>
          <w:iCs/>
        </w:rPr>
        <w:t xml:space="preserve">low data</w:t>
      </w:r>
      <w:r>
        <w:t xml:space="preserve"> </w:t>
      </w:r>
      <w:r>
        <w:t xml:space="preserve">variant mitigates this by keeping</w:t>
      </w:r>
      <w:r>
        <w:t xml:space="preserve"> </w:t>
      </w:r>
      <w:r>
        <w:rPr>
          <w:rStyle w:val="VerbatimChar"/>
        </w:rPr>
        <w:t xml:space="preserve">month==12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ZOIB expansion (extremely-low).</w:t>
      </w:r>
      <w:r>
        <w:t xml:space="preserve"> </w:t>
      </w:r>
      <w:r>
        <w:t xml:space="preserve">A zero-and-one-inflated Beta regression of</w:t>
      </w:r>
      <w:r>
        <w:t xml:space="preserve"> </w:t>
      </w:r>
      <w:r>
        <w:t xml:space="preserve">contribution density on sex (with age and sex in the one-inflation part) yields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expansion_factor = 1/(1 − implied_p_zero)</w:t>
      </w:r>
      <w:r>
        <w:t xml:space="preserve"> </w:t>
      </w:r>
      <w:r>
        <w:t xml:space="preserve">that scales up affiliate counts</w:t>
      </w:r>
      <w:r>
        <w:t xml:space="preserve"> </w:t>
      </w:r>
      <w:r>
        <w:t xml:space="preserve">to proxy for unobserved non-contributors. This is a</w:t>
      </w:r>
      <w:r>
        <w:t xml:space="preserve"> </w:t>
      </w:r>
      <w:r>
        <w:rPr>
          <w:b/>
          <w:bCs/>
        </w:rPr>
        <w:t xml:space="preserve">model-based</w:t>
      </w:r>
      <w:r>
        <w:rPr>
          <w:b/>
          <w:bCs/>
        </w:rPr>
        <w:t xml:space="preserve"> </w:t>
      </w:r>
      <w:r>
        <w:rPr>
          <w:b/>
          <w:bCs/>
        </w:rPr>
        <w:t xml:space="preserve">extrapolation</w:t>
      </w:r>
      <w:r>
        <w:t xml:space="preserve">: its validity rests on density being a good proxy for the</w:t>
      </w:r>
      <w:r>
        <w:t xml:space="preserve"> </w:t>
      </w:r>
      <w:r>
        <w:t xml:space="preserve">missing mass, and on the parametric Beta/inflation form.</w:t>
      </w:r>
    </w:p>
    <w:p>
      <w:pPr>
        <w:pStyle w:val="BlockText"/>
      </w:pPr>
      <w:r>
        <w:rPr>
          <w:b/>
          <w:bCs/>
        </w:rPr>
        <w:t xml:space="preserve">For reviewers.</w:t>
      </w:r>
      <w:r>
        <w:t xml:space="preserve"> </w:t>
      </w:r>
      <w:r>
        <w:t xml:space="preserve">(i) Which environment is used for the Mexico baseline, and</w:t>
      </w:r>
      <w:r>
        <w:t xml:space="preserve"> </w:t>
      </w:r>
      <w:r>
        <w:t xml:space="preserve">is that disclosed in the results? (ii) The four variants are not nested</w:t>
      </w:r>
      <w:r>
        <w:t xml:space="preserve"> </w:t>
      </w:r>
      <w:r>
        <w:t xml:space="preserve">estimators of the same quantity — they can produce materially different</w:t>
      </w:r>
      <w:r>
        <w:t xml:space="preserve"> </w:t>
      </w:r>
      <w:r>
        <w:t xml:space="preserve">affiliation rates. Has a sensitivity comparison across environments been run on</w:t>
      </w:r>
      <w:r>
        <w:t xml:space="preserve"> </w:t>
      </w:r>
      <w:r>
        <w:t xml:space="preserve">the same data to bound this? (iii) The tenure reconstruction’s single-spell</w:t>
      </w:r>
      <w:r>
        <w:t xml:space="preserve"> </w:t>
      </w:r>
      <w:r>
        <w:t xml:space="preserve">assumption interacts with the model’s own emphasis on re-entry (§4); is that</w:t>
      </w:r>
      <w:r>
        <w:t xml:space="preserve"> </w:t>
      </w:r>
      <w:r>
        <w:t xml:space="preserve">internally consistent?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atistical-estimation"/>
    <w:p>
      <w:pPr>
        <w:pStyle w:val="Heading1"/>
      </w:pPr>
      <w:r>
        <w:t xml:space="preserve">3. Statistical estimation</w:t>
      </w:r>
    </w:p>
    <w:p>
      <w:pPr>
        <w:pStyle w:val="FirstParagraph"/>
      </w:pPr>
      <w:r>
        <w:t xml:space="preserve">All behavioral models are estimated on at most the</w:t>
      </w:r>
      <w:r>
        <w:t xml:space="preserve"> </w:t>
      </w:r>
      <w:r>
        <w:rPr>
          <w:b/>
          <w:bCs/>
        </w:rPr>
        <w:t xml:space="preserve">last 10 years</w:t>
      </w:r>
      <w:r>
        <w:t xml:space="preserve"> </w:t>
      </w:r>
      <w:r>
        <w:t xml:space="preserve">of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years_avg = 10</w:t>
      </w:r>
      <w:r>
        <w:t xml:space="preserve">) for ages ≥ 15. This window choice trades recency against</w:t>
      </w:r>
      <w:r>
        <w:t xml:space="preserve"> </w:t>
      </w:r>
      <w:r>
        <w:t xml:space="preserve">sample size and is a candidate for sensitivity analysis.</w:t>
      </w:r>
    </w:p>
    <w:bookmarkStart w:id="14" w:name="labor-market-transitions-step-04"/>
    <w:p>
      <w:pPr>
        <w:pStyle w:val="Heading2"/>
      </w:pPr>
      <w:r>
        <w:t xml:space="preserve">3.1 Labor-market transitions (step 04)</w:t>
      </w:r>
    </w:p>
    <w:p>
      <w:pPr>
        <w:pStyle w:val="FirstParagraph"/>
      </w:pPr>
      <w:r>
        <w:t xml:space="preserve">Monthly exit (T1) and entry (T2) probabilities are</w:t>
      </w:r>
      <w:r>
        <w:t xml:space="preserve"> </w:t>
      </w:r>
      <w:r>
        <w:rPr>
          <w:b/>
          <w:bCs/>
        </w:rPr>
        <w:t xml:space="preserve">complementary log-log</w:t>
      </w:r>
      <w:r>
        <w:rPr>
          <w:b/>
          <w:bCs/>
        </w:rPr>
        <w:t xml:space="preserve"> </w:t>
      </w:r>
      <w:r>
        <w:rPr>
          <w:b/>
          <w:bCs/>
        </w:rPr>
        <w:t xml:space="preserve">hazards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T1 (dens==1):  cloglog  transition_out  c.spell_length##i.wage_decile_ref</w:t>
      </w:r>
      <w:r>
        <w:br/>
      </w:r>
      <w:r>
        <w:rPr>
          <w:rStyle w:val="VerbatimChar"/>
        </w:rPr>
        <w:t xml:space="preserve">                                         c.age##c.age  i.gender  c.los_gap</w:t>
      </w:r>
      <w:r>
        <w:br/>
      </w:r>
      <w:r>
        <w:rPr>
          <w:rStyle w:val="VerbatimChar"/>
        </w:rPr>
        <w:t xml:space="preserve">T2 (dens==0):  cloglog  transition_in   c.spell_length##i.wage_decile_ref</w:t>
      </w:r>
      <w:r>
        <w:br/>
      </w:r>
      <w:r>
        <w:rPr>
          <w:rStyle w:val="VerbatimChar"/>
        </w:rPr>
        <w:t xml:space="preserve">                                         c.age##c.age  i.gender  c.log_cod  c.los_gap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p = 1 − exp(−exp(xb))</w:t>
      </w:r>
      <w:r>
        <w:t xml:space="preserve">, standard errors clustered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BodyText"/>
      </w:pPr>
      <w:r>
        <w:t xml:space="preserve">Points a reviewer should examine: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Functional form.</w:t>
      </w:r>
      <w:r>
        <w:t xml:space="preserve"> </w:t>
      </w:r>
      <w:r>
        <w:t xml:space="preserve">cloglog is a discrete-time proportional-hazard</w:t>
      </w:r>
      <w:r>
        <w:t xml:space="preserve"> </w:t>
      </w:r>
      <w:r>
        <w:t xml:space="preserve">approximation; duration dependence enters through</w:t>
      </w:r>
      <w:r>
        <w:t xml:space="preserve"> </w:t>
      </w:r>
      <w:r>
        <w:rPr>
          <w:rStyle w:val="VerbatimChar"/>
        </w:rPr>
        <w:t xml:space="preserve">spell_length</w:t>
      </w:r>
      <w:r>
        <w:t xml:space="preserve"> </w:t>
      </w:r>
      <w:r>
        <w:t xml:space="preserve">interacted</w:t>
      </w:r>
      <w:r>
        <w:t xml:space="preserve"> </w:t>
      </w:r>
      <w:r>
        <w:t xml:space="preserve">with the reference decile. There is no unobserved-heterogeneity (frailty) term,</w:t>
      </w:r>
      <w:r>
        <w:t xml:space="preserve"> </w:t>
      </w:r>
      <w:r>
        <w:t xml:space="preserve">so any persistent individual propensity to exit/enter is absorbed into the</w:t>
      </w:r>
      <w:r>
        <w:t xml:space="preserve"> </w:t>
      </w:r>
      <w:r>
        <w:t xml:space="preserve">covariates and the clustered SEs — point predictions may be biased if frailty</w:t>
      </w:r>
      <w:r>
        <w:t xml:space="preserve"> </w:t>
      </w:r>
      <w:r>
        <w:t xml:space="preserve">is important.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Endogeneity of covariates.</w:t>
      </w:r>
      <w:r>
        <w:t xml:space="preserve"> </w:t>
      </w:r>
      <w:r>
        <w:rPr>
          <w:rStyle w:val="VerbatimChar"/>
        </w:rPr>
        <w:t xml:space="preserve">los_gap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log_cod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wage_decile_ref</w:t>
      </w:r>
      <w:r>
        <w:t xml:space="preserve"> </w:t>
      </w:r>
      <w:r>
        <w:t xml:space="preserve">are</w:t>
      </w:r>
      <w:r>
        <w:t xml:space="preserve"> </w:t>
      </w:r>
      <w:r>
        <w:t xml:space="preserve">functions of the same contribution history the hazard governs; they are</w:t>
      </w:r>
      <w:r>
        <w:t xml:space="preserve"> </w:t>
      </w:r>
      <w:r>
        <w:t xml:space="preserve">treated as predetermined. The direction of any resulting bias is worth a</w:t>
      </w:r>
      <w:r>
        <w:t xml:space="preserve"> </w:t>
      </w:r>
      <w:r>
        <w:t xml:space="preserve">comment.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in projection.</w:t>
      </w:r>
      <w:r>
        <w:t xml:space="preserve"> </w:t>
      </w:r>
      <w:r>
        <w:t xml:space="preserve">The estimated hazards are not used as-is: they are</w:t>
      </w:r>
      <w:r>
        <w:t xml:space="preserve"> </w:t>
      </w:r>
      <w:r>
        <w:t xml:space="preserve">rescaled each year by</w:t>
      </w:r>
      <w:r>
        <w:t xml:space="preserve"> </w:t>
      </w:r>
      <w:r>
        <w:rPr>
          <w:rStyle w:val="VerbatimChar"/>
        </w:rPr>
        <w:t xml:space="preserve">outflow_adjustment</w:t>
      </w:r>
      <w:r>
        <w:t xml:space="preserve">/</w:t>
      </w:r>
      <w:r>
        <w:rPr>
          <w:rStyle w:val="VerbatimChar"/>
        </w:rPr>
        <w:t xml:space="preserve">inflow_adjustment</w:t>
      </w:r>
      <w:r>
        <w:t xml:space="preserve"> </w:t>
      </w:r>
      <w:r>
        <w:t xml:space="preserve">so that</w:t>
      </w:r>
      <w:r>
        <w:t xml:space="preserve"> </w:t>
      </w:r>
      <w:r>
        <w:t xml:space="preserve">aggregate employment and turnover hit exogenous targets (§4). The micro model</w:t>
      </w:r>
      <w:r>
        <w:t xml:space="preserve"> </w:t>
      </w:r>
      <w:r>
        <w:t xml:space="preserve">therefore supplies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transitions across age/decile/tenure, while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is calibrated. This should be stated plainly when interpreting the</w:t>
      </w:r>
      <w:r>
        <w:t xml:space="preserve"> </w:t>
      </w:r>
      <w:r>
        <w:t xml:space="preserve">coefficients.</w:t>
      </w:r>
    </w:p>
    <w:bookmarkEnd w:id="14"/>
    <w:bookmarkStart w:id="15" w:name="life-cycle-wage-growth-step-05"/>
    <w:p>
      <w:pPr>
        <w:pStyle w:val="Heading2"/>
      </w:pPr>
      <w:r>
        <w:t xml:space="preserve">3.2 Life-cycle wage growth (step 05)</w:t>
      </w:r>
    </w:p>
    <w:p>
      <w:pPr>
        <w:pStyle w:val="FirstParagraph"/>
      </w:pPr>
      <w:r>
        <w:t xml:space="preserve">A single OLS regression of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wage growth (cohort growth ÷ aggregate</w:t>
      </w:r>
      <w:r>
        <w:t xml:space="preserve"> </w:t>
      </w:r>
      <w:r>
        <w:t xml:space="preserve">growth, ×100) on a</w:t>
      </w:r>
      <w:r>
        <w:t xml:space="preserve"> </w:t>
      </w:r>
      <w:r>
        <w:rPr>
          <w:b/>
          <w:bCs/>
        </w:rPr>
        <w:t xml:space="preserve">full three-way interaction</w:t>
      </w:r>
      <w:r>
        <w:t xml:space="preserve"> </w:t>
      </w:r>
      <w:r>
        <w:rPr>
          <w:rStyle w:val="VerbatimChar"/>
        </w:rPr>
        <w:t xml:space="preserve">i.wage_decile#i.gender#i.age</w:t>
      </w:r>
      <w:r>
        <w:t xml:space="preserve">,</w:t>
      </w:r>
      <w:r>
        <w:t xml:space="preserve"> </w:t>
      </w:r>
      <w:r>
        <w:t xml:space="preserve">on cohort-collapsed data, after trimming observations beyond ±3 SD and dropping</w:t>
      </w:r>
      <w:r>
        <w:t xml:space="preserve"> </w:t>
      </w:r>
      <w:r>
        <w:t xml:space="preserve">near-retirement workers with sufficient contributions (to avoid selection).</w:t>
      </w:r>
    </w:p>
    <w:p>
      <w:pPr>
        <w:pStyle w:val="BodyText"/>
      </w:pPr>
      <w:r>
        <w:t xml:space="preserve">Reviewer considerations: (i) the three-way saturated interaction is</w:t>
      </w:r>
      <w:r>
        <w:t xml:space="preserve"> </w:t>
      </w:r>
      <w:r>
        <w:t xml:space="preserve">high-dimensional and may be noisily estimated in sparse decile×age×sex cells;</w:t>
      </w:r>
      <w:r>
        <w:t xml:space="preserve"> </w:t>
      </w:r>
      <w:r>
        <w:t xml:space="preserve">(ii) the ratio definition is unstable when aggregate growth is near zero in a</w:t>
      </w:r>
      <w:r>
        <w:t xml:space="preserve"> </w:t>
      </w:r>
      <w:r>
        <w:t xml:space="preserve">given year; (iii) trimming at 3 SD is reasonable but the result should be checked</w:t>
      </w:r>
      <w:r>
        <w:t xml:space="preserve"> </w:t>
      </w:r>
      <w:r>
        <w:t xml:space="preserve">for sensitivity to the threshold.</w:t>
      </w:r>
    </w:p>
    <w:bookmarkEnd w:id="15"/>
    <w:bookmarkStart w:id="16" w:name="X49f50b5f080560bddd38e22638ecf037e6239c7"/>
    <w:p>
      <w:pPr>
        <w:pStyle w:val="Heading2"/>
      </w:pPr>
      <w:r>
        <w:t xml:space="preserve">3.3 Affiliation and incidence rates (steps 03, 06)</w:t>
      </w:r>
    </w:p>
    <w:p>
      <w:pPr>
        <w:pStyle w:val="FirstParagraph"/>
      </w:pPr>
      <w:r>
        <w:t xml:space="preserve">Affiliation rates are empirical ratios (new affiliates ÷ population), discussed</w:t>
      </w:r>
      <w:r>
        <w:t xml:space="preserve"> </w:t>
      </w:r>
      <w:r>
        <w:t xml:space="preserve">under §2.2. The retirement/disability/survivor incidence rates (step 06) apply a</w:t>
      </w:r>
      <w:r>
        <w:t xml:space="preserve"> </w:t>
      </w:r>
      <w:r>
        <w:rPr>
          <w:b/>
          <w:bCs/>
        </w:rPr>
        <w:t xml:space="preserve">cohort-survival adjustment</w:t>
      </w:r>
      <w:r>
        <w:t xml:space="preserve">: observed beneficiary counts are divided by the</w:t>
      </w:r>
      <w:r>
        <w:t xml:space="preserve"> </w:t>
      </w:r>
      <w:r>
        <w:t xml:space="preserve">ratio of cohort survival between the base year and the pension-start year, to</w:t>
      </w:r>
      <w:r>
        <w:t xml:space="preserve"> </w:t>
      </w:r>
      <w:r>
        <w:t xml:space="preserve">recover the original entering cohort. This requires a long mortality series; the</w:t>
      </w:r>
      <w:r>
        <w:t xml:space="preserve"> </w:t>
      </w:r>
      <w:r>
        <w:t xml:space="preserve">code backfills 1850–1949 by holding the earliest observed rates constant — an</w:t>
      </w:r>
      <w:r>
        <w:t xml:space="preserve"> </w:t>
      </w:r>
      <w:r>
        <w:t xml:space="preserve">approximation whose effect on recovered counts for very old cohorts should be</w:t>
      </w:r>
      <w:r>
        <w:t xml:space="preserve"> </w:t>
      </w:r>
      <w:r>
        <w:t xml:space="preserve">acknowledged.</w:t>
      </w:r>
    </w:p>
    <w:p>
      <w:pPr>
        <w:pStyle w:val="BlockText"/>
      </w:pPr>
      <w:r>
        <w:rPr>
          <w:b/>
          <w:bCs/>
        </w:rPr>
        <w:t xml:space="preserve">For reviewers.</w:t>
      </w:r>
      <w:r>
        <w:t xml:space="preserve"> </w:t>
      </w:r>
      <w:r>
        <w:t xml:space="preserve">(i) Are standard errors / fit diagnostics for T1, T2, and</w:t>
      </w:r>
      <w:r>
        <w:t xml:space="preserve"> </w:t>
      </w:r>
      <w:r>
        <w:t xml:space="preserve">the wage regression reported anywhere, or only point estimates fed forward?</w:t>
      </w:r>
      <w:r>
        <w:t xml:space="preserve"> </w:t>
      </w:r>
      <w:r>
        <w:t xml:space="preserve">(ii) Is there any out-of-sample or holdout validation of the transition and</w:t>
      </w:r>
      <w:r>
        <w:t xml:space="preserve"> </w:t>
      </w:r>
      <w:r>
        <w:t xml:space="preserve">wage models? (iii) The incidence rates average the last 20 years; for a system</w:t>
      </w:r>
      <w:r>
        <w:t xml:space="preserve"> </w:t>
      </w:r>
      <w:r>
        <w:t xml:space="preserve">mid-reform this may blend heterogeneous regimes.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effd90a6277a12c9968ee91b80c32277680eaea"/>
    <w:p>
      <w:pPr>
        <w:pStyle w:val="Heading1"/>
      </w:pPr>
      <w:r>
        <w:t xml:space="preserve">4. Simulation mechanics, calibration, and the benefit formula</w:t>
      </w:r>
    </w:p>
    <w:bookmarkStart w:id="18" w:name="calibration-to-exogenous-targets"/>
    <w:p>
      <w:pPr>
        <w:pStyle w:val="Heading2"/>
      </w:pPr>
      <w:r>
        <w:t xml:space="preserve">4.1 Calibration to exogenous targets</w:t>
      </w:r>
    </w:p>
    <w:p>
      <w:pPr>
        <w:pStyle w:val="FirstParagraph"/>
      </w:pPr>
      <w:r>
        <w:t xml:space="preserve">Two internal calibration loops make the micro dynamics conform to macro</w:t>
      </w:r>
      <w:r>
        <w:t xml:space="preserve"> </w:t>
      </w:r>
      <w:r>
        <w:t xml:space="preserve">assumptions: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Labor market.</w:t>
      </w:r>
      <w:r>
        <w:t xml:space="preserve"> </w:t>
      </w:r>
      <w:r>
        <w:t xml:space="preserve">Predicted exit/entry hazards are scaled so that the</w:t>
      </w:r>
      <w:r>
        <w:t xml:space="preserve"> </w:t>
      </w:r>
      <w:r>
        <w:t xml:space="preserve">simulated employment rate moves by</w:t>
      </w:r>
      <w:r>
        <w:t xml:space="preserve"> </w:t>
      </w:r>
      <w:r>
        <w:rPr>
          <w:rStyle w:val="VerbatimChar"/>
        </w:rPr>
        <w:t xml:space="preserve">emp_rate_growth</w:t>
      </w:r>
      <w:r>
        <w:t xml:space="preserve"> </w:t>
      </w:r>
      <w:r>
        <w:t xml:space="preserve">and gross turnover matches</w:t>
      </w:r>
      <w:r>
        <w:t xml:space="preserve"> </w:t>
      </w:r>
      <w:r>
        <w:rPr>
          <w:rStyle w:val="VerbatimChar"/>
        </w:rPr>
        <w:t xml:space="preserve">turnover_target</w:t>
      </w:r>
      <w:r>
        <w:t xml:space="preserve"> </w:t>
      </w:r>
      <w:r>
        <w:t xml:space="preserve">each year.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Wages.</w:t>
      </w:r>
      <w:r>
        <w:t xml:space="preserve"> </w:t>
      </w:r>
      <w:r>
        <w:t xml:space="preserve">After applying decile-specific relative growth, all wages are</w:t>
      </w:r>
      <w:r>
        <w:t xml:space="preserve"> </w:t>
      </w:r>
      <w:r>
        <w:t xml:space="preserve">rescaled by</w:t>
      </w:r>
      <w:r>
        <w:t xml:space="preserve"> </w:t>
      </w:r>
      <w:r>
        <w:rPr>
          <w:rStyle w:val="VerbatimChar"/>
        </w:rPr>
        <w:t xml:space="preserve">(1 + wage_growth_user)/(1 + wage_growth_obs)</w:t>
      </w:r>
      <w:r>
        <w:t xml:space="preserve"> </w:t>
      </w:r>
      <w:r>
        <w:t xml:space="preserve">so the simulated</w:t>
      </w:r>
      <w:r>
        <w:t xml:space="preserve"> </w:t>
      </w:r>
      <w:r>
        <w:t xml:space="preserve">mean wage growth equals the assumed aggregate exactly.</w:t>
      </w:r>
    </w:p>
    <w:p>
      <w:pPr>
        <w:pStyle w:val="FirstParagraph"/>
      </w:pPr>
      <w:r>
        <w:t xml:space="preserve">These are sensible</w:t>
      </w:r>
      <w:r>
        <w:t xml:space="preserve"> </w:t>
      </w:r>
      <w:r>
        <w:t xml:space="preserve">“alignment”</w:t>
      </w:r>
      <w:r>
        <w:t xml:space="preserve"> </w:t>
      </w:r>
      <w:r>
        <w:t xml:space="preserve">devices common in microsimulation, but they mean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aggregate paths are imposed, not predicted</w:t>
      </w:r>
      <w:r>
        <w:t xml:space="preserve">; the model’s value-added is the</w:t>
      </w:r>
      <w:r>
        <w:t xml:space="preserve"> </w:t>
      </w:r>
      <w:r>
        <w:t xml:space="preserve">distribution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those aggregates. Reviewers should interpret headline</w:t>
      </w:r>
      <w:r>
        <w:t xml:space="preserve"> </w:t>
      </w:r>
      <w:r>
        <w:t xml:space="preserve">employment and wage trajectories as assumptions, not model outputs.</w:t>
      </w:r>
    </w:p>
    <w:bookmarkEnd w:id="18"/>
    <w:bookmarkStart w:id="19" w:name="benefit-formula-defined-benefit"/>
    <w:p>
      <w:pPr>
        <w:pStyle w:val="Heading2"/>
      </w:pPr>
      <w:r>
        <w:t xml:space="preserve">4.2 Benefit formula (defined benefit)</w:t>
      </w:r>
    </w:p>
    <w:p>
      <w:pPr>
        <w:pStyle w:val="FirstParagraph"/>
      </w:pPr>
      <w:r>
        <w:t xml:space="preserve">For an eligible individual:</w:t>
      </w:r>
    </w:p>
    <w:p>
      <w:pPr>
        <w:pStyle w:val="SourceCode"/>
      </w:pPr>
      <w:r>
        <w:rPr>
          <w:rStyle w:val="VerbatimChar"/>
        </w:rPr>
        <w:t xml:space="preserve">replacement_rate     = yos·p_accrual − years_early·p_delta + years_late·p_lambda</w:t>
      </w:r>
      <w:r>
        <w:br/>
      </w:r>
      <w:r>
        <w:rPr>
          <w:rStyle w:val="VerbatimChar"/>
        </w:rPr>
        <w:t xml:space="preserve">replacement_rate     = max( min(replacement_rate, p_accrual_max), 0 )</w:t>
      </w:r>
      <w:r>
        <w:br/>
      </w:r>
      <w:r>
        <w:rPr>
          <w:rStyle w:val="VerbatimChar"/>
        </w:rPr>
        <w:t xml:space="preserve">pension_benefit_base = reference_wage · replacement_rate</w:t>
      </w:r>
      <w:r>
        <w:br/>
      </w:r>
      <w:r>
        <w:rPr>
          <w:rStyle w:val="VerbatimChar"/>
        </w:rPr>
        <w:t xml:space="preserve">pension_benefit      = max( min(pension_benefit_base, pension_maxpen), pension_minpen )</w:t>
      </w:r>
    </w:p>
    <w:p>
      <w:pPr>
        <w:pStyle w:val="FirstParagraph"/>
      </w:pPr>
      <w:r>
        <w:t xml:space="preserve">with eligibility = (service ≥</w:t>
      </w:r>
      <w:r>
        <w:t xml:space="preserve"> </w:t>
      </w:r>
      <w:r>
        <w:rPr>
          <w:rStyle w:val="VerbatimChar"/>
        </w:rPr>
        <w:t xml:space="preserve">p_min_service_req</w:t>
      </w:r>
      <w:r>
        <w:t xml:space="preserve">) ∧ (age past the</w:t>
      </w:r>
      <w:r>
        <w:t xml:space="preserve"> </w:t>
      </w:r>
      <w:r>
        <w:t xml:space="preserve">δ-penalty floor) ∧ (age ≥ earliest age). Baseline policy parameters: accrual 4%/yr</w:t>
      </w:r>
      <w:r>
        <w:t xml:space="preserve"> </w:t>
      </w:r>
      <w:r>
        <w:t xml:space="preserve">(cap 75%), early/late adjustment ±4%/yr, minimum service ≈14.42 years, retirement</w:t>
      </w:r>
      <w:r>
        <w:t xml:space="preserve"> </w:t>
      </w:r>
      <w:r>
        <w:t xml:space="preserve">age 65, forced retirement 99, base minimum pension 2,622 (adjusted by age,</w:t>
      </w:r>
      <w:r>
        <w:t xml:space="preserve"> </w:t>
      </w:r>
      <w:r>
        <w:t xml:space="preserve">tenure, and wage). The reference wage supports rolling-average or best-N-years</w:t>
      </w:r>
      <w:r>
        <w:t xml:space="preserve"> </w:t>
      </w:r>
      <w:r>
        <w:t xml:space="preserve">definitions and is revalorized annually by a weighted index of inflation, real</w:t>
      </w:r>
      <w:r>
        <w:t xml:space="preserve"> </w:t>
      </w:r>
      <w:r>
        <w:t xml:space="preserve">wage growth, and an anchor.</w:t>
      </w:r>
    </w:p>
    <w:p>
      <w:pPr>
        <w:pStyle w:val="BodyText"/>
      </w:pPr>
      <w:r>
        <w:t xml:space="preserve">Reviewer considerations: (i) the</w:t>
      </w:r>
      <w:r>
        <w:t xml:space="preserve"> </w:t>
      </w:r>
      <w:r>
        <w:rPr>
          <w:b/>
          <w:bCs/>
        </w:rPr>
        <w:t xml:space="preserve">rule-based retirement trigger</w:t>
      </w:r>
      <w:r>
        <w:t xml:space="preserve"> </w:t>
      </w:r>
      <w:r>
        <w:t xml:space="preserve">— retire when</w:t>
      </w:r>
      <w:r>
        <w:t xml:space="preserve"> </w:t>
      </w:r>
      <w:r>
        <w:t xml:space="preserve">the replacement-rate cap is hit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at age 99 — is mechanical and will tend to</w:t>
      </w:r>
      <w:r>
        <w:t xml:space="preserve"> </w:t>
      </w:r>
      <w:r>
        <w:t xml:space="preserve">push retirement to the cap; the more behavioral</w:t>
      </w:r>
      <w:r>
        <w:t xml:space="preserve"> </w:t>
      </w:r>
      <w:r>
        <w:rPr>
          <w:b/>
          <w:bCs/>
        </w:rPr>
        <w:t xml:space="preserve">NPV decision is [PENDING]</w:t>
      </w:r>
      <w:r>
        <w:t xml:space="preserve">, so</w:t>
      </w:r>
      <w:r>
        <w:t xml:space="preserve"> </w:t>
      </w:r>
      <w:r>
        <w:t xml:space="preserve">the timing distribution of retirements is currently an artifact of the rule, not</w:t>
      </w:r>
      <w:r>
        <w:t xml:space="preserve"> </w:t>
      </w:r>
      <w:r>
        <w:t xml:space="preserve">of incentives; (ii) the covered-wage cap (</w:t>
      </w:r>
      <w:r>
        <w:rPr>
          <w:rStyle w:val="VerbatimChar"/>
        </w:rPr>
        <w:t xml:space="preserve">p_max_income</w:t>
      </w:r>
      <w:r>
        <w:t xml:space="preserve">) and floor interact with</w:t>
      </w:r>
      <w:r>
        <w:t xml:space="preserve"> </w:t>
      </w:r>
      <w:r>
        <w:t xml:space="preserve">the minimum-pension adjustments in ways worth a worked example; (iii) the</w:t>
      </w:r>
      <w:r>
        <w:t xml:space="preserve"> </w:t>
      </w:r>
      <w:r>
        <w:t xml:space="preserve">parameters should be checked against current Mexican law (e.g., IMSS/Ley 97</w:t>
      </w:r>
      <w:r>
        <w:t xml:space="preserve"> </w:t>
      </w:r>
      <w:r>
        <w:t xml:space="preserve">week requirements and the</w:t>
      </w:r>
      <w:r>
        <w:t xml:space="preserve"> </w:t>
      </w:r>
      <w:r>
        <w:rPr>
          <w:i/>
          <w:iCs/>
        </w:rPr>
        <w:t xml:space="preserve">pensión garantizada</w:t>
      </w:r>
      <w:r>
        <w:t xml:space="preserve">), since several are placeholders.</w:t>
      </w:r>
    </w:p>
    <w:bookmarkEnd w:id="19"/>
    <w:bookmarkStart w:id="20" w:name="unimplemented-components-pending"/>
    <w:p>
      <w:pPr>
        <w:pStyle w:val="Heading2"/>
      </w:pPr>
      <w:r>
        <w:t xml:space="preserve">4.3 Unimplemented components</w:t>
      </w:r>
      <w:r>
        <w:t xml:space="preserve"> </w:t>
      </w:r>
      <w:r>
        <w:rPr>
          <w:b/>
          <w:bCs/>
        </w:rPr>
        <w:t xml:space="preserve">[PENDING]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Disability and survivorship.</w:t>
      </w:r>
      <w:r>
        <w:t xml:space="preserve"> </w:t>
      </w:r>
      <w:r>
        <w:t xml:space="preserve">Incidence rates are produced (step 06) but the</w:t>
      </w:r>
      <w:r>
        <w:t xml:space="preserve"> </w:t>
      </w:r>
      <w:r>
        <w:t xml:space="preserve">transitions are not applied in the loop; pensioner counts therefore exclude</w:t>
      </w:r>
      <w:r>
        <w:t xml:space="preserve"> </w:t>
      </w:r>
      <w:r>
        <w:t xml:space="preserve">these risks.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Defined contribution.</w:t>
      </w:r>
      <w:r>
        <w:t xml:space="preserve"> </w:t>
      </w:r>
      <w:r>
        <w:t xml:space="preserve">DC accounts, balances, and annuitization are not</w:t>
      </w:r>
      <w:r>
        <w:t xml:space="preserve"> </w:t>
      </w:r>
      <w:r>
        <w:t xml:space="preserve">accumulated (</w:t>
      </w:r>
      <w:r>
        <w:rPr>
          <w:rStyle w:val="VerbatimChar"/>
        </w:rPr>
        <w:t xml:space="preserve">p_lumpsum_flag = 0</w:t>
      </w:r>
      <w:r>
        <w:t xml:space="preserve">); the system is projected as pure DB.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NPV retirement.</w:t>
      </w:r>
      <w:r>
        <w:t xml:space="preserve"> </w:t>
      </w:r>
      <w:r>
        <w:t xml:space="preserve">See §4.2.</w:t>
      </w:r>
    </w:p>
    <w:p>
      <w:pPr>
        <w:pStyle w:val="FirstParagraph"/>
      </w:pPr>
      <w:r>
        <w:t xml:space="preserve">These omissions are material for any total-cost or replacement-rate conclusion</w:t>
      </w:r>
      <w:r>
        <w:t xml:space="preserve"> </w:t>
      </w:r>
      <w:r>
        <w:t xml:space="preserve">and should bound the claims made from current outputs.</w:t>
      </w:r>
    </w:p>
    <w:p>
      <w:pPr>
        <w:pStyle w:val="BlockText"/>
      </w:pPr>
      <w:r>
        <w:rPr>
          <w:b/>
          <w:bCs/>
        </w:rPr>
        <w:t xml:space="preserve">For reviewers.</w:t>
      </w:r>
      <w:r>
        <w:t xml:space="preserve"> </w:t>
      </w:r>
      <w:r>
        <w:t xml:space="preserve">(i) Given calibration, what exactly is being validated when</w:t>
      </w:r>
      <w:r>
        <w:t xml:space="preserve"> </w:t>
      </w:r>
      <w:r>
        <w:t xml:space="preserve">the model</w:t>
      </w:r>
      <w:r>
        <w:t xml:space="preserve"> </w:t>
      </w:r>
      <w:r>
        <w:t xml:space="preserve">“matches”</w:t>
      </w:r>
      <w:r>
        <w:t xml:space="preserve"> </w:t>
      </w:r>
      <w:r>
        <w:t xml:space="preserve">historical aggregates? (ii) Should results be presented as</w:t>
      </w:r>
      <w:r>
        <w:t xml:space="preserve"> </w:t>
      </w:r>
      <w:r>
        <w:t xml:space="preserve">DB-only and old-age-only until the [PENDING] modules are active? (iii) Are the</w:t>
      </w:r>
      <w:r>
        <w:t xml:space="preserve"> </w:t>
      </w:r>
      <w:r>
        <w:t xml:space="preserve">policy parameters sourced and dated?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90e470f6ed89f62ff984382e4f0d478c1dc5cc7"/>
    <w:p>
      <w:pPr>
        <w:pStyle w:val="Heading1"/>
      </w:pPr>
      <w:r>
        <w:t xml:space="preserve">5. Stochastic error, reproducibility, and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Monte-Carlo error.</w:t>
      </w:r>
      <w:r>
        <w:t xml:space="preserve"> </w:t>
      </w:r>
      <w:r>
        <w:t xml:space="preserve">The run uses a</w:t>
      </w:r>
      <w:r>
        <w:t xml:space="preserve"> </w:t>
      </w:r>
      <w:r>
        <w:rPr>
          <w:b/>
          <w:bCs/>
        </w:rPr>
        <w:t xml:space="preserve">10%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single random seed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seed = 2</w:t>
      </w:r>
      <w:r>
        <w:rPr>
          <w:b/>
          <w:bCs/>
        </w:rPr>
        <w:t xml:space="preserve">)</w:t>
      </w:r>
      <w:r>
        <w:t xml:space="preserve">. Mortality, transitions, wage draws, and decile/birth-month</w:t>
      </w:r>
      <w:r>
        <w:t xml:space="preserve"> </w:t>
      </w:r>
      <w:r>
        <w:t xml:space="preserve">assignment are all stochastic. With one seed and a 10% sample there is no</w:t>
      </w:r>
      <w:r>
        <w:t xml:space="preserve"> </w:t>
      </w:r>
      <w:r>
        <w:t xml:space="preserve">characterization of sampling variability around the projected aggregates.</w:t>
      </w:r>
      <w:r>
        <w:t xml:space="preserve"> </w:t>
      </w:r>
      <w:r>
        <w:t xml:space="preserve">Reviewers should expect</w:t>
      </w:r>
      <w:r>
        <w:t xml:space="preserve"> </w:t>
      </w:r>
      <w:r>
        <w:rPr>
          <w:b/>
          <w:bCs/>
        </w:rPr>
        <w:t xml:space="preserve">multi-seed (and ideally larger-sample) replication</w:t>
      </w:r>
      <w:r>
        <w:t xml:space="preserve"> </w:t>
      </w:r>
      <w:r>
        <w:t xml:space="preserve">with reported Monte-Carlo confidence bands before point projections are used</w:t>
      </w:r>
      <w:r>
        <w:t xml:space="preserve"> </w:t>
      </w:r>
      <w:r>
        <w:t xml:space="preserve">for fiscal decisions.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Within a platform the fixed seed makes runs reproducible.</w:t>
      </w:r>
      <w:r>
        <w:t xml:space="preserve"> </w:t>
      </w:r>
      <w:r>
        <w:t xml:space="preserve">Across platforms (e.g., the Stata original vs. the Python re-implementation),</w:t>
      </w:r>
      <w:r>
        <w:t xml:space="preserve"> </w:t>
      </w:r>
      <w:r>
        <w:t xml:space="preserve">RNG differences mean only</w:t>
      </w:r>
      <w:r>
        <w:t xml:space="preserve"> </w:t>
      </w:r>
      <w:r>
        <w:rPr>
          <w:b/>
          <w:bCs/>
        </w:rPr>
        <w:t xml:space="preserve">statistical</w:t>
      </w:r>
      <w:r>
        <w:t xml:space="preserve">, not bit-for-bit, agreement is</w:t>
      </w:r>
      <w:r>
        <w:t xml:space="preserve"> </w:t>
      </w:r>
      <w:r>
        <w:t xml:space="preserve">expected; a documented cross-implementation reconciliation (same inputs,</w:t>
      </w:r>
      <w:r>
        <w:t xml:space="preserve"> </w:t>
      </w:r>
      <w:r>
        <w:t xml:space="preserve">distribution of outputs) would strengthen confidence.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Validation.</w:t>
      </w:r>
      <w:r>
        <w:t xml:space="preserve"> </w:t>
      </w:r>
      <w:r>
        <w:t xml:space="preserve">The companion materials describe in-year reporting tables but</w:t>
      </w:r>
      <w:r>
        <w:t xml:space="preserve"> </w:t>
      </w:r>
      <w:r>
        <w:t xml:space="preserve">no formal back-test. A minimal validation suite would include: (i) base-year</w:t>
      </w:r>
      <w:r>
        <w:t xml:space="preserve"> </w:t>
      </w:r>
      <w:r>
        <w:t xml:space="preserve">reproduction of observed contributor and pensioner stocks; (ii) short-horizon</w:t>
      </w:r>
      <w:r>
        <w:t xml:space="preserve"> </w:t>
      </w:r>
      <w:r>
        <w:t xml:space="preserve">back-cast against recent observed years; (iii) sensitivity to the data</w:t>
      </w:r>
      <w:r>
        <w:t xml:space="preserve"> </w:t>
      </w:r>
      <w:r>
        <w:t xml:space="preserve">environment (§2.2), the 10-year estimation window, and the trimming/threshold</w:t>
      </w:r>
      <w:r>
        <w:t xml:space="preserve"> </w:t>
      </w:r>
      <w:r>
        <w:t xml:space="preserve">choices.</w:t>
      </w:r>
    </w:p>
    <w:p>
      <w:pPr>
        <w:pStyle w:val="BlockText"/>
      </w:pPr>
      <w:r>
        <w:rPr>
          <w:b/>
          <w:bCs/>
        </w:rPr>
        <w:t xml:space="preserve">For reviewers.</w:t>
      </w:r>
      <w:r>
        <w:t xml:space="preserve"> </w:t>
      </w:r>
      <w:r>
        <w:t xml:space="preserve">(i) What is the Monte-Carlo standard error on the headline</w:t>
      </w:r>
      <w:r>
        <w:t xml:space="preserve"> </w:t>
      </w:r>
      <w:r>
        <w:t xml:space="preserve">2050/2104 aggregates? (ii) Is base-year calibration exact (do weighted sample</w:t>
      </w:r>
      <w:r>
        <w:t xml:space="preserve"> </w:t>
      </w:r>
      <w:r>
        <w:t xml:space="preserve">stocks equal administrative totals)? (iii) Has the Python/Stata pair been</w:t>
      </w:r>
      <w:r>
        <w:t xml:space="preserve"> </w:t>
      </w:r>
      <w:r>
        <w:t xml:space="preserve">reconciled on identical inputs?</w:t>
      </w:r>
    </w:p>
    <w:p>
      <w:r>
        <w:pict>
          <v:rect style="width:0;height:1.5pt" o:hralign="center" o:hrstd="t" o:hr="t"/>
        </w:pict>
      </w:r>
    </w:p>
    <w:bookmarkEnd w:id="22"/>
    <w:bookmarkStart w:id="23" w:name="X210df5efb3e57481e79f7a8e8450c4a247f7b6a"/>
    <w:p>
      <w:pPr>
        <w:pStyle w:val="Heading1"/>
      </w:pPr>
      <w:r>
        <w:t xml:space="preserve">6. Summary assessment checklist for reviewers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Key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class fit for purpose</w:t>
            </w:r>
          </w:p>
        </w:tc>
        <w:tc>
          <w:tcPr/>
          <w:p>
            <w:pPr>
              <w:pStyle w:val="Compact"/>
            </w:pPr>
            <w:r>
              <w:t xml:space="preserve">Plausible</w:t>
            </w:r>
          </w:p>
        </w:tc>
        <w:tc>
          <w:tcPr/>
          <w:p>
            <w:pPr>
              <w:pStyle w:val="Compact"/>
            </w:pPr>
            <w:r>
              <w:t xml:space="preserve">Microsimulation vs. cell model trade-off justified?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environment / fallbacks</w:t>
            </w:r>
          </w:p>
        </w:tc>
        <w:tc>
          <w:tcPr/>
          <w:p>
            <w:pPr>
              <w:pStyle w:val="Compact"/>
            </w:pPr>
            <w:r>
              <w:t xml:space="preserve">Needs disclosure</w:t>
            </w:r>
          </w:p>
        </w:tc>
        <w:tc>
          <w:tcPr/>
          <w:p>
            <w:pPr>
              <w:pStyle w:val="Compact"/>
            </w:pPr>
            <w:r>
              <w:t xml:space="preserve">Which variant is used; sensitivity across variants?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models (cloglog)</w:t>
            </w:r>
          </w:p>
        </w:tc>
        <w:tc>
          <w:tcPr/>
          <w:p>
            <w:pPr>
              <w:pStyle w:val="Compact"/>
            </w:pPr>
            <w:r>
              <w:t xml:space="preserve">Estimated, calibrated</w:t>
            </w:r>
          </w:p>
        </w:tc>
        <w:tc>
          <w:tcPr/>
          <w:p>
            <w:pPr>
              <w:pStyle w:val="Compact"/>
            </w:pPr>
            <w:r>
              <w:t xml:space="preserve">Frailty omitted; level is calibrated not predicted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Wage profile (saturated OLS)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Sparse-cell noise; ratio instability near zero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Incidence rates + survival adj.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Long backfill approximation; 20-yr blend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 formula (DB)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Parameters vs. current law; rule-based retirement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Disability / survivor / DC / NPV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Results should be scoped to DB old-age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Stochastic error</w:t>
            </w:r>
          </w:p>
        </w:tc>
        <w:tc>
          <w:tcPr/>
          <w:p>
            <w:pPr>
              <w:pStyle w:val="Compact"/>
            </w:pPr>
            <w:r>
              <w:t xml:space="preserve">Single seed, 10%</w:t>
            </w:r>
          </w:p>
        </w:tc>
        <w:tc>
          <w:tcPr/>
          <w:p>
            <w:pPr>
              <w:pStyle w:val="Compact"/>
            </w:pPr>
            <w:r>
              <w:t xml:space="preserve">No Monte-Carlo bands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Within-platform</w:t>
            </w:r>
          </w:p>
        </w:tc>
        <w:tc>
          <w:tcPr/>
          <w:p>
            <w:pPr>
              <w:pStyle w:val="Compact"/>
            </w:pPr>
            <w:r>
              <w:t xml:space="preserve">Cross-implementation reconciliation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/ back-test</w:t>
            </w:r>
          </w:p>
        </w:tc>
        <w:tc>
          <w:tcPr/>
          <w:p>
            <w:pPr>
              <w:pStyle w:val="Compact"/>
            </w:pPr>
            <w:r>
              <w:t xml:space="preserve">Not documented</w:t>
            </w:r>
          </w:p>
        </w:tc>
        <w:tc>
          <w:tcPr/>
          <w:p>
            <w:pPr>
              <w:pStyle w:val="Compact"/>
            </w:pPr>
            <w:r>
              <w:t xml:space="preserve">Base-year + back-cast + sensitivity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32473cc6bfbb49cd220a65feeb8d8488c26b19d"/>
    <w:p>
      <w:pPr>
        <w:pStyle w:val="Heading1"/>
      </w:pPr>
      <w:r>
        <w:t xml:space="preserve">Appendix A — Baseline policy and simulation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baseyear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startyear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endyear</w:t>
            </w:r>
          </w:p>
        </w:tc>
        <w:tc>
          <w:tcPr/>
          <w:p>
            <w:pPr>
              <w:pStyle w:val="Compact"/>
            </w:pPr>
            <w:r>
              <w:t xml:space="preserve">2024 / 2025 / 2104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10% / 2</w:t>
            </w:r>
          </w:p>
        </w:tc>
        <w:tc>
          <w:tcPr/>
          <w:p>
            <w:pPr>
              <w:pStyle w:val="Compact"/>
            </w:pPr>
            <w:r>
              <w:t xml:space="preserve">Monte-Carlo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years_avg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Estimation window (steps 03–05)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include_years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Incidence-rate window (step 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working_age_min/max</w:t>
            </w:r>
          </w:p>
        </w:tc>
        <w:tc>
          <w:tcPr/>
          <w:p>
            <w:pPr>
              <w:pStyle w:val="Compact"/>
            </w:pPr>
            <w:r>
              <w:t xml:space="preserve">15 / 64</w:t>
            </w:r>
          </w:p>
        </w:tc>
        <w:tc>
          <w:tcPr/>
          <w:p>
            <w:pPr>
              <w:pStyle w:val="Compact"/>
            </w:pPr>
            <w:r>
              <w:t xml:space="preserve">Labor-force 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p_min_service_req</w:t>
            </w:r>
          </w:p>
        </w:tc>
        <w:tc>
          <w:tcPr/>
          <w:p>
            <w:pPr>
              <w:pStyle w:val="Compact"/>
            </w:pPr>
            <w:r>
              <w:t xml:space="preserve">750/52 ≈ 14.42 yr</w:t>
            </w:r>
          </w:p>
        </w:tc>
        <w:tc>
          <w:tcPr/>
          <w:p>
            <w:pPr>
              <w:pStyle w:val="Compact"/>
            </w:pPr>
            <w:r>
              <w:t xml:space="preserve">Eligibility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p_accrual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p_accrual_max</w:t>
            </w:r>
          </w:p>
        </w:tc>
        <w:tc>
          <w:tcPr/>
          <w:p>
            <w:pPr>
              <w:pStyle w:val="Compact"/>
            </w:pPr>
            <w:r>
              <w:t xml:space="preserve">4%/yr / 75%</w:t>
            </w:r>
          </w:p>
        </w:tc>
        <w:tc>
          <w:tcPr/>
          <w:p>
            <w:pPr>
              <w:pStyle w:val="Compact"/>
            </w:pPr>
            <w:r>
              <w:t xml:space="preserve">Replacement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p_delta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p_lambda</w:t>
            </w:r>
          </w:p>
        </w:tc>
        <w:tc>
          <w:tcPr/>
          <w:p>
            <w:pPr>
              <w:pStyle w:val="Compact"/>
            </w:pPr>
            <w:r>
              <w:t xml:space="preserve">4% / 4% per yr</w:t>
            </w:r>
          </w:p>
        </w:tc>
        <w:tc>
          <w:tcPr/>
          <w:p>
            <w:pPr>
              <w:pStyle w:val="Compact"/>
            </w:pPr>
            <w:r>
              <w:t xml:space="preserve">Early penalty / late 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age / forced</w:t>
            </w:r>
          </w:p>
        </w:tc>
        <w:tc>
          <w:tcPr/>
          <w:p>
            <w:pPr>
              <w:pStyle w:val="Compact"/>
            </w:pPr>
            <w:r>
              <w:t xml:space="preserve">65 / 99</w:t>
            </w:r>
          </w:p>
        </w:tc>
        <w:tc>
          <w:tcPr/>
          <w:p>
            <w:pPr>
              <w:pStyle w:val="Compact"/>
            </w:pPr>
            <w:r>
              <w:t xml:space="preserve">Eligibility / retirement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p_minpen_base</w:t>
            </w:r>
          </w:p>
        </w:tc>
        <w:tc>
          <w:tcPr/>
          <w:p>
            <w:pPr>
              <w:pStyle w:val="Compact"/>
            </w:pPr>
            <w:r>
              <w:t xml:space="preserve">2,622</w:t>
            </w:r>
          </w:p>
        </w:tc>
        <w:tc>
          <w:tcPr/>
          <w:p>
            <w:pPr>
              <w:pStyle w:val="Compact"/>
            </w:pPr>
            <w:r>
              <w:t xml:space="preserve">Minimum pension (adj. age/tenure/wage)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p_discount_rate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NPV decision</w:t>
            </w:r>
            <w:r>
              <w:t xml:space="preserve"> </w:t>
            </w:r>
            <w:r>
              <w:rPr>
                <w:b/>
                <w:bCs/>
              </w:rPr>
              <w:t xml:space="preserve">[PENDING]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indexation weights</w:t>
            </w:r>
            <w:r>
              <w:t xml:space="preserve"> </w:t>
            </w:r>
            <w:r>
              <w:rPr>
                <w:rStyle w:val="VerbatimChar"/>
              </w:rPr>
              <w:t xml:space="preserve">alpha1..3</w:t>
            </w:r>
          </w:p>
        </w:tc>
        <w:tc>
          <w:tcPr/>
          <w:p>
            <w:pPr>
              <w:pStyle w:val="Compact"/>
            </w:pPr>
            <w:r>
              <w:t xml:space="preserve">1 / 1 / 1</w:t>
            </w:r>
          </w:p>
        </w:tc>
        <w:tc>
          <w:tcPr/>
          <w:p>
            <w:pPr>
              <w:pStyle w:val="Compact"/>
            </w:pPr>
            <w:r>
              <w:t xml:space="preserve">Inflation / real wage /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pindex_inflation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Benefit indexation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ppendix-b-companion-documents"/>
    <w:p>
      <w:pPr>
        <w:pStyle w:val="Heading1"/>
      </w:pPr>
      <w:r>
        <w:t xml:space="preserve">Appendix B — Companion documents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The PROST v2 Pension Microsimulation Model — Technical Methodology Document</w:t>
      </w:r>
      <w:r>
        <w:t xml:space="preserve"> </w:t>
      </w:r>
      <w:r>
        <w:t xml:space="preserve">(full algorithmic description of steps 01–06 and the projection engine).</w:t>
      </w:r>
    </w:p>
    <w:p>
      <w:pPr>
        <w:pStyle w:val="Compact"/>
        <w:numPr>
          <w:ilvl w:val="0"/>
          <w:numId w:val="1007"/>
        </w:numPr>
      </w:pPr>
      <w:r>
        <w:t xml:space="preserve">Python re-implementation under</w:t>
      </w:r>
      <w:r>
        <w:t xml:space="preserve"> </w:t>
      </w:r>
      <w:r>
        <w:rPr>
          <w:rStyle w:val="VerbatimChar"/>
        </w:rPr>
        <w:t xml:space="preserve">toolkit/</w:t>
      </w:r>
      <w:r>
        <w:t xml:space="preserve"> </w:t>
      </w:r>
      <w:r>
        <w:t xml:space="preserve">(modular, testable; statistically</w:t>
      </w:r>
      <w:r>
        <w:t xml:space="preserve"> </w:t>
      </w:r>
      <w:r>
        <w:t xml:space="preserve">equivalent to the Stata original).</w:t>
      </w:r>
    </w:p>
    <w:p>
      <w:pPr>
        <w:pStyle w:val="FirstParagraph"/>
      </w:pPr>
      <w:r>
        <w:rPr>
          <w:i/>
          <w:iCs/>
        </w:rPr>
        <w:t xml:space="preserve">This note was compiled from a direct reading of the PROST-2 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</w:t>
      </w:r>
      <w:r>
        <w:rPr>
          <w:i/>
          <w:iCs/>
        </w:rPr>
        <w:t xml:space="preserve"> </w:t>
      </w:r>
      <w:r>
        <w:rPr>
          <w:i/>
          <w:iCs/>
        </w:rPr>
        <w:t xml:space="preserve">programs and is intended to support, not replace, reviewers’ independent</w:t>
      </w:r>
      <w:r>
        <w:rPr>
          <w:i/>
          <w:iCs/>
        </w:rPr>
        <w:t xml:space="preserve"> </w:t>
      </w:r>
      <w:r>
        <w:rPr>
          <w:i/>
          <w:iCs/>
        </w:rPr>
        <w:t xml:space="preserve">inspection of the source.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PROST v2 Pension Microsimulation Model</dc:title>
  <dc:creator>World Bank — PROST Team</dc:creator>
  <dc:language>en</dc:language>
  <cp:keywords/>
  <dcterms:created xsi:type="dcterms:W3CDTF">2026-06-15T23:58:57Z</dcterms:created>
  <dcterms:modified xsi:type="dcterms:W3CDTF">2026-06-15T23:58:57Z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Methodology Note for Peer Reviewers</vt:lpwstr>
  </property>
</Properties>
</file>