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6664" w14:textId="77777777" w:rsidR="00456D6A" w:rsidRPr="003446F7" w:rsidRDefault="00456D6A" w:rsidP="004F780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46F7">
        <w:rPr>
          <w:rFonts w:ascii="Times New Roman" w:hAnsi="Times New Roman" w:cs="Times New Roman"/>
          <w:b/>
          <w:bCs/>
          <w:sz w:val="28"/>
          <w:szCs w:val="28"/>
        </w:rPr>
        <w:t>Отчет по проекту: Прогнозирование цен на бриллианты</w:t>
      </w:r>
    </w:p>
    <w:p w14:paraId="116F5379" w14:textId="4A60F22C" w:rsidR="00456D6A" w:rsidRPr="003446F7" w:rsidRDefault="00456D6A" w:rsidP="00456D6A">
      <w:pPr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3446F7">
        <w:rPr>
          <w:rFonts w:ascii="Times New Roman" w:hAnsi="Times New Roman" w:cs="Times New Roman"/>
          <w:sz w:val="28"/>
          <w:szCs w:val="28"/>
        </w:rPr>
        <w:t>: Построение регрессионной модели для прогнозирования розничной цены бриллианта на основе его физических характеристик и геометрических размеров.</w:t>
      </w:r>
    </w:p>
    <w:p w14:paraId="76E20559" w14:textId="17132498" w:rsidR="00456D6A" w:rsidRPr="003446F7" w:rsidRDefault="00456D6A" w:rsidP="00456D6A">
      <w:pPr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b/>
          <w:bCs/>
          <w:sz w:val="28"/>
          <w:szCs w:val="28"/>
        </w:rPr>
        <w:t>Методология</w:t>
      </w:r>
      <w:r w:rsidRPr="003446F7">
        <w:rPr>
          <w:rFonts w:ascii="Times New Roman" w:hAnsi="Times New Roman" w:cs="Times New Roman"/>
          <w:sz w:val="28"/>
          <w:szCs w:val="28"/>
        </w:rPr>
        <w:t xml:space="preserve">: В рамках проекта были выполнены все этапы цикла: </w:t>
      </w:r>
      <w:r w:rsidR="004F780B" w:rsidRPr="003446F7">
        <w:rPr>
          <w:rFonts w:ascii="Times New Roman" w:hAnsi="Times New Roman" w:cs="Times New Roman"/>
          <w:sz w:val="28"/>
          <w:szCs w:val="28"/>
        </w:rPr>
        <w:t xml:space="preserve">предварительная обработка данных в </w:t>
      </w:r>
      <w:proofErr w:type="spellStart"/>
      <w:r w:rsidR="004F780B" w:rsidRPr="003446F7">
        <w:rPr>
          <w:rFonts w:ascii="Times New Roman" w:hAnsi="Times New Roman" w:cs="Times New Roman"/>
          <w:sz w:val="28"/>
          <w:szCs w:val="28"/>
        </w:rPr>
        <w:t>датасете,</w:t>
      </w:r>
      <w:r w:rsidRPr="003446F7">
        <w:rPr>
          <w:rFonts w:ascii="Times New Roman" w:hAnsi="Times New Roman" w:cs="Times New Roman"/>
          <w:sz w:val="28"/>
          <w:szCs w:val="28"/>
        </w:rPr>
        <w:t>очистка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данных (удаление дубликатов, нулевых размеров, выбросов), инженерия признаков (логарифмирование целевой переменной, создание признаков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ratio_x_y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, устранение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>), и сравнение четырех моделей (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) с настройкой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с использованием кросс-валидации.</w:t>
      </w:r>
    </w:p>
    <w:p w14:paraId="57F4109B" w14:textId="546F99EF" w:rsidR="00456D6A" w:rsidRPr="003446F7" w:rsidRDefault="00456D6A" w:rsidP="00456D6A">
      <w:pPr>
        <w:rPr>
          <w:rFonts w:ascii="Times New Roman" w:hAnsi="Times New Roman" w:cs="Times New Roman"/>
          <w:sz w:val="28"/>
          <w:szCs w:val="28"/>
        </w:rPr>
      </w:pPr>
    </w:p>
    <w:p w14:paraId="16117B15" w14:textId="77777777" w:rsidR="002424D4" w:rsidRPr="002424D4" w:rsidRDefault="002424D4" w:rsidP="002424D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424D4">
        <w:rPr>
          <w:rFonts w:ascii="Times New Roman" w:hAnsi="Times New Roman" w:cs="Times New Roman"/>
          <w:b/>
          <w:bCs/>
          <w:sz w:val="28"/>
          <w:szCs w:val="28"/>
        </w:rPr>
        <w:t>1. Анализ распределения цен и физических характеристик (EDA)</w:t>
      </w:r>
    </w:p>
    <w:p w14:paraId="37AB937F" w14:textId="77777777" w:rsidR="002424D4" w:rsidRPr="002424D4" w:rsidRDefault="002424D4" w:rsidP="002424D4">
      <w:pPr>
        <w:rPr>
          <w:rFonts w:ascii="Times New Roman" w:hAnsi="Times New Roman" w:cs="Times New Roman"/>
          <w:sz w:val="28"/>
          <w:szCs w:val="28"/>
        </w:rPr>
      </w:pPr>
      <w:r w:rsidRPr="002424D4">
        <w:rPr>
          <w:rFonts w:ascii="Times New Roman" w:hAnsi="Times New Roman" w:cs="Times New Roman"/>
          <w:sz w:val="28"/>
          <w:szCs w:val="28"/>
        </w:rPr>
        <w:t xml:space="preserve">Первоначальный анализ данных выявил сильную нелинейность и 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скошенность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 xml:space="preserve"> в ключевых переменных, что требовало преобразования для успешного моделирования.</w:t>
      </w:r>
    </w:p>
    <w:p w14:paraId="4C4631D3" w14:textId="3840B649" w:rsidR="002424D4" w:rsidRPr="002424D4" w:rsidRDefault="002424D4" w:rsidP="002424D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424D4">
        <w:rPr>
          <w:rFonts w:ascii="Times New Roman" w:hAnsi="Times New Roman" w:cs="Times New Roman"/>
          <w:b/>
          <w:bCs/>
          <w:sz w:val="28"/>
          <w:szCs w:val="28"/>
        </w:rPr>
        <w:t>Проблема экспоненциальной зависимости</w:t>
      </w:r>
    </w:p>
    <w:p w14:paraId="3BF23874" w14:textId="77777777" w:rsidR="002424D4" w:rsidRPr="002424D4" w:rsidRDefault="002424D4" w:rsidP="002424D4">
      <w:pPr>
        <w:rPr>
          <w:rFonts w:ascii="Times New Roman" w:hAnsi="Times New Roman" w:cs="Times New Roman"/>
          <w:sz w:val="28"/>
          <w:szCs w:val="28"/>
        </w:rPr>
      </w:pPr>
      <w:r w:rsidRPr="002424D4">
        <w:rPr>
          <w:rFonts w:ascii="Times New Roman" w:hAnsi="Times New Roman" w:cs="Times New Roman"/>
          <w:sz w:val="28"/>
          <w:szCs w:val="28"/>
        </w:rPr>
        <w:t xml:space="preserve">Основная проблема заключалась в сильной 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скошенности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 xml:space="preserve"> распределения Цены и Карата вправо, что характерно для финансовых данных. Эта экспоненциальная зависимость затрудняет работу линейных моделей.</w:t>
      </w:r>
    </w:p>
    <w:p w14:paraId="72DFA2B3" w14:textId="67C8B5E8" w:rsidR="002424D4" w:rsidRPr="003446F7" w:rsidRDefault="002424D4" w:rsidP="00242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500499A2" wp14:editId="761FBF05">
            <wp:extent cx="5940425" cy="2095500"/>
            <wp:effectExtent l="0" t="0" r="3175" b="0"/>
            <wp:docPr id="15834415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2B7C" w14:textId="57782C3D" w:rsidR="002424D4" w:rsidRPr="003446F7" w:rsidRDefault="002424D4" w:rsidP="00242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lastRenderedPageBreak/>
        <w:drawing>
          <wp:inline distT="0" distB="0" distL="0" distR="0" wp14:anchorId="32ACA38E" wp14:editId="244E5DBC">
            <wp:extent cx="5940425" cy="3919220"/>
            <wp:effectExtent l="0" t="0" r="3175" b="5080"/>
            <wp:docPr id="9145970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24D8" w14:textId="4F9109E8" w:rsidR="002424D4" w:rsidRPr="003446F7" w:rsidRDefault="002424D4" w:rsidP="00344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1 – Графики </w:t>
      </w:r>
      <w:r w:rsidRPr="003446F7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3446F7">
        <w:rPr>
          <w:rFonts w:ascii="Times New Roman" w:hAnsi="Times New Roman" w:cs="Times New Roman"/>
          <w:sz w:val="28"/>
          <w:szCs w:val="28"/>
        </w:rPr>
        <w:t xml:space="preserve"> и </w:t>
      </w:r>
      <w:r w:rsidRPr="003446F7">
        <w:rPr>
          <w:rFonts w:ascii="Times New Roman" w:hAnsi="Times New Roman" w:cs="Times New Roman"/>
          <w:sz w:val="28"/>
          <w:szCs w:val="28"/>
          <w:lang w:val="en-US"/>
        </w:rPr>
        <w:t>Carat</w:t>
      </w:r>
    </w:p>
    <w:p w14:paraId="48825A5C" w14:textId="44D5C6CE" w:rsidR="002424D4" w:rsidRPr="002424D4" w:rsidRDefault="002424D4" w:rsidP="003446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424D4">
        <w:rPr>
          <w:rFonts w:ascii="Times New Roman" w:hAnsi="Times New Roman" w:cs="Times New Roman"/>
          <w:b/>
          <w:bCs/>
          <w:sz w:val="28"/>
          <w:szCs w:val="28"/>
        </w:rPr>
        <w:t>Логарифмическое</w:t>
      </w:r>
      <w:r w:rsidRPr="002424D4">
        <w:rPr>
          <w:rFonts w:ascii="Times New Roman" w:hAnsi="Times New Roman" w:cs="Times New Roman"/>
          <w:sz w:val="28"/>
          <w:szCs w:val="28"/>
        </w:rPr>
        <w:t xml:space="preserve"> </w:t>
      </w:r>
      <w:r w:rsidRPr="002424D4">
        <w:rPr>
          <w:rFonts w:ascii="Times New Roman" w:hAnsi="Times New Roman" w:cs="Times New Roman"/>
          <w:b/>
          <w:bCs/>
          <w:sz w:val="28"/>
          <w:szCs w:val="28"/>
        </w:rPr>
        <w:t>преобразование</w:t>
      </w:r>
    </w:p>
    <w:p w14:paraId="4BD158EF" w14:textId="630098B9" w:rsidR="002424D4" w:rsidRPr="002424D4" w:rsidRDefault="002424D4" w:rsidP="002424D4">
      <w:pPr>
        <w:rPr>
          <w:rFonts w:ascii="Times New Roman" w:hAnsi="Times New Roman" w:cs="Times New Roman"/>
          <w:sz w:val="28"/>
          <w:szCs w:val="28"/>
        </w:rPr>
      </w:pPr>
      <w:r w:rsidRPr="002424D4">
        <w:rPr>
          <w:rFonts w:ascii="Times New Roman" w:hAnsi="Times New Roman" w:cs="Times New Roman"/>
          <w:sz w:val="28"/>
          <w:szCs w:val="28"/>
        </w:rPr>
        <w:t xml:space="preserve">Для устранения 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скошенности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 xml:space="preserve"> и стабилизации дисперсии были применены логарифмические преобразования к Цене (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>(price)) и Карату (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24D4">
        <w:rPr>
          <w:rFonts w:ascii="Times New Roman" w:hAnsi="Times New Roman" w:cs="Times New Roman"/>
          <w:sz w:val="28"/>
          <w:szCs w:val="28"/>
        </w:rPr>
        <w:t>carat</w:t>
      </w:r>
      <w:proofErr w:type="spellEnd"/>
      <w:r w:rsidRPr="002424D4">
        <w:rPr>
          <w:rFonts w:ascii="Times New Roman" w:hAnsi="Times New Roman" w:cs="Times New Roman"/>
          <w:sz w:val="28"/>
          <w:szCs w:val="28"/>
        </w:rPr>
        <w:t>)).</w:t>
      </w:r>
    </w:p>
    <w:p w14:paraId="0747588F" w14:textId="6C8EBD5A" w:rsidR="00DB1B65" w:rsidRPr="003446F7" w:rsidRDefault="007B21D2" w:rsidP="007B21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46F7">
        <w:rPr>
          <w:noProof/>
        </w:rPr>
        <w:drawing>
          <wp:inline distT="0" distB="0" distL="0" distR="0" wp14:anchorId="75574D67" wp14:editId="516E018A">
            <wp:extent cx="4469433" cy="2859864"/>
            <wp:effectExtent l="0" t="0" r="7620" b="0"/>
            <wp:docPr id="5238265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18" cy="28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8C97" w14:textId="3B540F46" w:rsidR="007B21D2" w:rsidRPr="003446F7" w:rsidRDefault="007B21D2" w:rsidP="007B2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2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</w:t>
      </w:r>
      <w:r w:rsidRPr="003446F7">
        <w:rPr>
          <w:rFonts w:ascii="Times New Roman" w:hAnsi="Times New Roman" w:cs="Times New Roman"/>
          <w:sz w:val="28"/>
          <w:szCs w:val="28"/>
        </w:rPr>
        <w:t>Диаграмма рассеяния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3446F7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3446F7">
        <w:rPr>
          <w:rFonts w:ascii="Times New Roman" w:hAnsi="Times New Roman" w:cs="Times New Roman"/>
          <w:sz w:val="28"/>
          <w:szCs w:val="28"/>
        </w:rPr>
        <w:t xml:space="preserve"> и </w:t>
      </w:r>
      <w:r w:rsidRPr="003446F7">
        <w:rPr>
          <w:rFonts w:ascii="Times New Roman" w:hAnsi="Times New Roman" w:cs="Times New Roman"/>
          <w:sz w:val="28"/>
          <w:szCs w:val="28"/>
          <w:lang w:val="en-US"/>
        </w:rPr>
        <w:t>Carat</w:t>
      </w:r>
    </w:p>
    <w:p w14:paraId="43EF4ACE" w14:textId="2703D208" w:rsidR="007B21D2" w:rsidRPr="003446F7" w:rsidRDefault="007B21D2" w:rsidP="007B21D2">
      <w:pPr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>График подтверждает успешную линеаризацию экспоненциальной зависимости, что критически важно для регрессионного анализа.</w:t>
      </w:r>
    </w:p>
    <w:p w14:paraId="01081CAB" w14:textId="77777777" w:rsidR="007B21D2" w:rsidRPr="003446F7" w:rsidRDefault="007B21D2" w:rsidP="007B21D2">
      <w:pPr>
        <w:rPr>
          <w:rFonts w:ascii="Times New Roman" w:hAnsi="Times New Roman" w:cs="Times New Roman"/>
          <w:sz w:val="28"/>
          <w:szCs w:val="28"/>
        </w:rPr>
      </w:pPr>
    </w:p>
    <w:p w14:paraId="4EF08AA8" w14:textId="77777777" w:rsidR="007B21D2" w:rsidRPr="003446F7" w:rsidRDefault="007B21D2" w:rsidP="007B21D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21D2">
        <w:rPr>
          <w:rFonts w:ascii="Times New Roman" w:hAnsi="Times New Roman" w:cs="Times New Roman"/>
          <w:b/>
          <w:bCs/>
          <w:sz w:val="28"/>
          <w:szCs w:val="28"/>
        </w:rPr>
        <w:t>2. Влияние категориальных признаков на цену</w:t>
      </w:r>
    </w:p>
    <w:p w14:paraId="32DA8994" w14:textId="253A76E9" w:rsidR="007B21D2" w:rsidRPr="007B21D2" w:rsidRDefault="007B21D2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21D2">
        <w:rPr>
          <w:rFonts w:ascii="Times New Roman" w:hAnsi="Times New Roman" w:cs="Times New Roman"/>
          <w:b/>
          <w:bCs/>
          <w:sz w:val="28"/>
          <w:szCs w:val="28"/>
        </w:rPr>
        <w:t>Использование Частичных Зависимостей (PDP)</w:t>
      </w:r>
    </w:p>
    <w:p w14:paraId="04DCB8C1" w14:textId="77777777" w:rsidR="007B21D2" w:rsidRPr="007B21D2" w:rsidRDefault="007B21D2" w:rsidP="007B21D2">
      <w:pPr>
        <w:rPr>
          <w:rFonts w:ascii="Times New Roman" w:hAnsi="Times New Roman" w:cs="Times New Roman"/>
          <w:sz w:val="28"/>
          <w:szCs w:val="28"/>
        </w:rPr>
      </w:pPr>
      <w:r w:rsidRPr="007B21D2">
        <w:rPr>
          <w:rFonts w:ascii="Times New Roman" w:hAnsi="Times New Roman" w:cs="Times New Roman"/>
          <w:sz w:val="28"/>
          <w:szCs w:val="28"/>
        </w:rPr>
        <w:t>Для оценки нелинейного влияния категориальных признаков (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Clarity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 xml:space="preserve"> и Color) на прогнозную цену была использована методология 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Dependence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 xml:space="preserve"> (PDP), основанная на лучшей модели 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>.</w:t>
      </w:r>
    </w:p>
    <w:p w14:paraId="254C305A" w14:textId="77777777" w:rsidR="007B21D2" w:rsidRPr="003446F7" w:rsidRDefault="007B21D2" w:rsidP="007B21D2">
      <w:pPr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7C6C47B2" wp14:editId="6558D7B7">
            <wp:extent cx="5940425" cy="3089275"/>
            <wp:effectExtent l="0" t="0" r="3175" b="0"/>
            <wp:docPr id="7207773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A197" w14:textId="25D11D5A" w:rsidR="007B21D2" w:rsidRPr="003446F7" w:rsidRDefault="007B21D2" w:rsidP="007B2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3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</w:t>
      </w:r>
      <w:r w:rsidR="00D3065E" w:rsidRPr="003446F7">
        <w:rPr>
          <w:rFonts w:ascii="Times New Roman" w:hAnsi="Times New Roman" w:cs="Times New Roman"/>
          <w:sz w:val="28"/>
          <w:szCs w:val="28"/>
        </w:rPr>
        <w:t>Визуализация зависимости цены от важных признаков</w:t>
      </w:r>
    </w:p>
    <w:p w14:paraId="7B4AC574" w14:textId="3F867BE7" w:rsidR="007B21D2" w:rsidRPr="007B21D2" w:rsidRDefault="007B21D2" w:rsidP="007B21D2">
      <w:pPr>
        <w:rPr>
          <w:rFonts w:ascii="Times New Roman" w:hAnsi="Times New Roman" w:cs="Times New Roman"/>
          <w:sz w:val="28"/>
          <w:szCs w:val="28"/>
        </w:rPr>
      </w:pPr>
      <w:r w:rsidRPr="007B21D2">
        <w:rPr>
          <w:rFonts w:ascii="Times New Roman" w:hAnsi="Times New Roman" w:cs="Times New Roman"/>
          <w:sz w:val="28"/>
          <w:szCs w:val="28"/>
        </w:rPr>
        <w:t>Анализ по PDP:</w:t>
      </w:r>
    </w:p>
    <w:p w14:paraId="7E85F271" w14:textId="77777777" w:rsidR="007B21D2" w:rsidRPr="007B21D2" w:rsidRDefault="007B21D2" w:rsidP="007B21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21D2">
        <w:rPr>
          <w:rFonts w:ascii="Times New Roman" w:hAnsi="Times New Roman" w:cs="Times New Roman"/>
          <w:sz w:val="28"/>
          <w:szCs w:val="28"/>
        </w:rPr>
        <w:t>Чистота (</w:t>
      </w:r>
      <w:proofErr w:type="spellStart"/>
      <w:r w:rsidRPr="007B21D2">
        <w:rPr>
          <w:rFonts w:ascii="Times New Roman" w:hAnsi="Times New Roman" w:cs="Times New Roman"/>
          <w:sz w:val="28"/>
          <w:szCs w:val="28"/>
        </w:rPr>
        <w:t>Clarity</w:t>
      </w:r>
      <w:proofErr w:type="spellEnd"/>
      <w:r w:rsidRPr="007B21D2">
        <w:rPr>
          <w:rFonts w:ascii="Times New Roman" w:hAnsi="Times New Roman" w:cs="Times New Roman"/>
          <w:sz w:val="28"/>
          <w:szCs w:val="28"/>
        </w:rPr>
        <w:t>): Цена монотонно возрастает с улучшением чистоты (положительные значения на оси X). Однако, прирост цены за каждый шаг улучшения затухает на самых высоких уровнях чистоты.</w:t>
      </w:r>
    </w:p>
    <w:p w14:paraId="73B2CA44" w14:textId="77777777" w:rsidR="007B21D2" w:rsidRPr="007B21D2" w:rsidRDefault="007B21D2" w:rsidP="007B21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21D2">
        <w:rPr>
          <w:rFonts w:ascii="Times New Roman" w:hAnsi="Times New Roman" w:cs="Times New Roman"/>
          <w:sz w:val="28"/>
          <w:szCs w:val="28"/>
        </w:rPr>
        <w:t>Цвет (Color)</w:t>
      </w:r>
      <w:proofErr w:type="gramStart"/>
      <w:r w:rsidRPr="007B21D2">
        <w:rPr>
          <w:rFonts w:ascii="Times New Roman" w:hAnsi="Times New Roman" w:cs="Times New Roman"/>
          <w:sz w:val="28"/>
          <w:szCs w:val="28"/>
        </w:rPr>
        <w:t>: Наблюдается</w:t>
      </w:r>
      <w:proofErr w:type="gramEnd"/>
      <w:r w:rsidRPr="007B21D2">
        <w:rPr>
          <w:rFonts w:ascii="Times New Roman" w:hAnsi="Times New Roman" w:cs="Times New Roman"/>
          <w:sz w:val="28"/>
          <w:szCs w:val="28"/>
        </w:rPr>
        <w:t xml:space="preserve"> плавный и непрерывный рост цены по мере улучшения цвета, что подтверждает монотонную зависимость.</w:t>
      </w:r>
    </w:p>
    <w:p w14:paraId="3E5B7228" w14:textId="44BD7F64" w:rsidR="003446F7" w:rsidRDefault="003446F7" w:rsidP="007B21D2">
      <w:pPr>
        <w:rPr>
          <w:rFonts w:ascii="Times New Roman" w:hAnsi="Times New Roman" w:cs="Times New Roman"/>
          <w:sz w:val="28"/>
          <w:szCs w:val="28"/>
        </w:rPr>
      </w:pPr>
    </w:p>
    <w:p w14:paraId="34AE0D3F" w14:textId="77777777" w:rsidR="003446F7" w:rsidRDefault="003446F7" w:rsidP="007B21D2">
      <w:pPr>
        <w:rPr>
          <w:rFonts w:ascii="Times New Roman" w:hAnsi="Times New Roman" w:cs="Times New Roman"/>
          <w:sz w:val="28"/>
          <w:szCs w:val="28"/>
        </w:rPr>
      </w:pPr>
    </w:p>
    <w:p w14:paraId="4CFDF097" w14:textId="77777777" w:rsidR="003446F7" w:rsidRDefault="003446F7" w:rsidP="007B21D2">
      <w:pPr>
        <w:rPr>
          <w:rFonts w:ascii="Times New Roman" w:hAnsi="Times New Roman" w:cs="Times New Roman"/>
          <w:sz w:val="28"/>
          <w:szCs w:val="28"/>
        </w:rPr>
      </w:pPr>
    </w:p>
    <w:p w14:paraId="3B9DDEF8" w14:textId="77777777" w:rsidR="003446F7" w:rsidRDefault="003446F7" w:rsidP="007B21D2">
      <w:pPr>
        <w:rPr>
          <w:rFonts w:ascii="Times New Roman" w:hAnsi="Times New Roman" w:cs="Times New Roman"/>
          <w:sz w:val="28"/>
          <w:szCs w:val="28"/>
        </w:rPr>
      </w:pPr>
    </w:p>
    <w:p w14:paraId="68397563" w14:textId="77777777" w:rsidR="003446F7" w:rsidRPr="003446F7" w:rsidRDefault="003446F7" w:rsidP="007B21D2">
      <w:pPr>
        <w:rPr>
          <w:rFonts w:ascii="Times New Roman" w:hAnsi="Times New Roman" w:cs="Times New Roman"/>
          <w:sz w:val="28"/>
          <w:szCs w:val="28"/>
        </w:rPr>
      </w:pPr>
    </w:p>
    <w:p w14:paraId="1BDC07F8" w14:textId="77777777" w:rsidR="00D3065E" w:rsidRPr="00D3065E" w:rsidRDefault="00D3065E" w:rsidP="00D3065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Сравнение метрик всех моделей с обоснованием выбора лучшей</w:t>
      </w:r>
    </w:p>
    <w:p w14:paraId="632A84F7" w14:textId="77777777" w:rsidR="00D3065E" w:rsidRPr="00D3065E" w:rsidRDefault="00D3065E" w:rsidP="00D3065E">
      <w:p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>Четыре регрессионные модели были обучены и оценены на тестовой выборке.</w:t>
      </w:r>
    </w:p>
    <w:p w14:paraId="713BE9B2" w14:textId="3E5B814A" w:rsidR="00D3065E" w:rsidRPr="00D3065E" w:rsidRDefault="00D3065E" w:rsidP="00D3065E">
      <w:p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>Сравнительный анализ метрик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D3065E" w:rsidRPr="003446F7" w14:paraId="692859A7" w14:textId="77777777" w:rsidTr="00E133F5">
        <w:tc>
          <w:tcPr>
            <w:tcW w:w="1914" w:type="dxa"/>
            <w:vAlign w:val="center"/>
          </w:tcPr>
          <w:p w14:paraId="1C4B5B79" w14:textId="7C18E77F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Модель</w:t>
            </w:r>
          </w:p>
        </w:tc>
        <w:tc>
          <w:tcPr>
            <w:tcW w:w="1914" w:type="dxa"/>
            <w:vAlign w:val="center"/>
          </w:tcPr>
          <w:p w14:paraId="1200E03D" w14:textId="6275DFC8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R2</w:t>
            </w:r>
          </w:p>
        </w:tc>
        <w:tc>
          <w:tcPr>
            <w:tcW w:w="1914" w:type="dxa"/>
            <w:vAlign w:val="center"/>
          </w:tcPr>
          <w:p w14:paraId="46A74F3D" w14:textId="5F16E42E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MAE (USD)</w:t>
            </w:r>
          </w:p>
        </w:tc>
        <w:tc>
          <w:tcPr>
            <w:tcW w:w="1914" w:type="dxa"/>
            <w:vAlign w:val="center"/>
          </w:tcPr>
          <w:p w14:paraId="1B97B127" w14:textId="0C3CA177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RMSE (USD)</w:t>
            </w:r>
          </w:p>
        </w:tc>
        <w:tc>
          <w:tcPr>
            <w:tcW w:w="1915" w:type="dxa"/>
            <w:vAlign w:val="center"/>
          </w:tcPr>
          <w:p w14:paraId="2573DE6A" w14:textId="0D0B0329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MAPE (%)</w:t>
            </w:r>
          </w:p>
        </w:tc>
      </w:tr>
      <w:tr w:rsidR="00D3065E" w:rsidRPr="003446F7" w14:paraId="7F82E104" w14:textId="77777777" w:rsidTr="00E133F5">
        <w:tc>
          <w:tcPr>
            <w:tcW w:w="1914" w:type="dxa"/>
            <w:vAlign w:val="center"/>
          </w:tcPr>
          <w:p w14:paraId="4C045101" w14:textId="7A8506D2" w:rsidR="00D3065E" w:rsidRPr="003446F7" w:rsidRDefault="00D3065E" w:rsidP="00D306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Random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Forest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(RF)</w:t>
            </w:r>
          </w:p>
        </w:tc>
        <w:tc>
          <w:tcPr>
            <w:tcW w:w="1914" w:type="dxa"/>
            <w:vAlign w:val="center"/>
          </w:tcPr>
          <w:p w14:paraId="5CA47E6F" w14:textId="5C6398B4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0.9761</w:t>
            </w:r>
          </w:p>
        </w:tc>
        <w:tc>
          <w:tcPr>
            <w:tcW w:w="1914" w:type="dxa"/>
            <w:vAlign w:val="center"/>
          </w:tcPr>
          <w:p w14:paraId="2D9357D2" w14:textId="73E61950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284.80</w:t>
            </w:r>
          </w:p>
        </w:tc>
        <w:tc>
          <w:tcPr>
            <w:tcW w:w="1914" w:type="dxa"/>
            <w:vAlign w:val="center"/>
          </w:tcPr>
          <w:p w14:paraId="089CD18F" w14:textId="5D660FCA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614.97</w:t>
            </w:r>
          </w:p>
        </w:tc>
        <w:tc>
          <w:tcPr>
            <w:tcW w:w="1915" w:type="dxa"/>
            <w:vAlign w:val="center"/>
          </w:tcPr>
          <w:p w14:paraId="03200C42" w14:textId="2F78B0CB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6.24%</w:t>
            </w:r>
          </w:p>
        </w:tc>
      </w:tr>
      <w:tr w:rsidR="00D3065E" w:rsidRPr="003446F7" w14:paraId="2441863B" w14:textId="77777777" w:rsidTr="00E133F5">
        <w:tc>
          <w:tcPr>
            <w:tcW w:w="1914" w:type="dxa"/>
            <w:vAlign w:val="center"/>
          </w:tcPr>
          <w:p w14:paraId="5AFF5AA1" w14:textId="4423319D" w:rsidR="00D3065E" w:rsidRPr="003446F7" w:rsidRDefault="00D3065E" w:rsidP="00D306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Gradient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Boosting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(GBM)</w:t>
            </w:r>
          </w:p>
        </w:tc>
        <w:tc>
          <w:tcPr>
            <w:tcW w:w="1914" w:type="dxa"/>
            <w:vAlign w:val="center"/>
          </w:tcPr>
          <w:p w14:paraId="1144ACEE" w14:textId="15333405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0.9766</w:t>
            </w:r>
          </w:p>
        </w:tc>
        <w:tc>
          <w:tcPr>
            <w:tcW w:w="1914" w:type="dxa"/>
            <w:vAlign w:val="center"/>
          </w:tcPr>
          <w:p w14:paraId="12AAE328" w14:textId="685F7171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286.09</w:t>
            </w:r>
          </w:p>
        </w:tc>
        <w:tc>
          <w:tcPr>
            <w:tcW w:w="1914" w:type="dxa"/>
            <w:vAlign w:val="center"/>
          </w:tcPr>
          <w:p w14:paraId="40D92DF4" w14:textId="308FDCC9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608.62</w:t>
            </w:r>
          </w:p>
        </w:tc>
        <w:tc>
          <w:tcPr>
            <w:tcW w:w="1915" w:type="dxa"/>
            <w:vAlign w:val="center"/>
          </w:tcPr>
          <w:p w14:paraId="66C4BADC" w14:textId="1A15D19B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6.38%</w:t>
            </w:r>
          </w:p>
        </w:tc>
      </w:tr>
      <w:tr w:rsidR="00D3065E" w:rsidRPr="003446F7" w14:paraId="0F3B1060" w14:textId="77777777" w:rsidTr="00E133F5">
        <w:tc>
          <w:tcPr>
            <w:tcW w:w="1914" w:type="dxa"/>
            <w:vAlign w:val="center"/>
          </w:tcPr>
          <w:p w14:paraId="00C74607" w14:textId="5216DED4" w:rsidR="00D3065E" w:rsidRPr="003446F7" w:rsidRDefault="00D3065E" w:rsidP="00D306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XGBoost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(XGB)</w:t>
            </w:r>
          </w:p>
        </w:tc>
        <w:tc>
          <w:tcPr>
            <w:tcW w:w="1914" w:type="dxa"/>
            <w:vAlign w:val="center"/>
          </w:tcPr>
          <w:p w14:paraId="77D61DAE" w14:textId="526F5BB5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0.9764</w:t>
            </w:r>
          </w:p>
        </w:tc>
        <w:tc>
          <w:tcPr>
            <w:tcW w:w="1914" w:type="dxa"/>
            <w:vAlign w:val="center"/>
          </w:tcPr>
          <w:p w14:paraId="6C3DA3AE" w14:textId="151E0FCA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286.10</w:t>
            </w:r>
          </w:p>
        </w:tc>
        <w:tc>
          <w:tcPr>
            <w:tcW w:w="1914" w:type="dxa"/>
            <w:vAlign w:val="center"/>
          </w:tcPr>
          <w:p w14:paraId="13BD3F2D" w14:textId="3D50747A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610.20</w:t>
            </w:r>
          </w:p>
        </w:tc>
        <w:tc>
          <w:tcPr>
            <w:tcW w:w="1915" w:type="dxa"/>
            <w:vAlign w:val="center"/>
          </w:tcPr>
          <w:p w14:paraId="5E2D69A7" w14:textId="529139B8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6.38%</w:t>
            </w:r>
          </w:p>
        </w:tc>
      </w:tr>
      <w:tr w:rsidR="00D3065E" w:rsidRPr="003446F7" w14:paraId="36A1723B" w14:textId="77777777" w:rsidTr="00E133F5">
        <w:tc>
          <w:tcPr>
            <w:tcW w:w="1914" w:type="dxa"/>
            <w:vAlign w:val="center"/>
          </w:tcPr>
          <w:p w14:paraId="67EFEB25" w14:textId="28603A09" w:rsidR="00D3065E" w:rsidRPr="003446F7" w:rsidRDefault="00D3065E" w:rsidP="00D306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Linear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Regression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(LR)</w:t>
            </w:r>
          </w:p>
        </w:tc>
        <w:tc>
          <w:tcPr>
            <w:tcW w:w="1914" w:type="dxa"/>
            <w:vAlign w:val="center"/>
          </w:tcPr>
          <w:p w14:paraId="7A1CD416" w14:textId="0E9F3E38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0.9331</w:t>
            </w:r>
          </w:p>
        </w:tc>
        <w:tc>
          <w:tcPr>
            <w:tcW w:w="1914" w:type="dxa"/>
            <w:vAlign w:val="center"/>
          </w:tcPr>
          <w:p w14:paraId="3F01548A" w14:textId="0E22A0BF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465.08</w:t>
            </w:r>
          </w:p>
        </w:tc>
        <w:tc>
          <w:tcPr>
            <w:tcW w:w="1914" w:type="dxa"/>
            <w:vAlign w:val="center"/>
          </w:tcPr>
          <w:p w14:paraId="31151869" w14:textId="617D6DEA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1028.47</w:t>
            </w:r>
          </w:p>
        </w:tc>
        <w:tc>
          <w:tcPr>
            <w:tcW w:w="1915" w:type="dxa"/>
            <w:vAlign w:val="center"/>
          </w:tcPr>
          <w:p w14:paraId="11564BAA" w14:textId="23EEA27F" w:rsidR="00D3065E" w:rsidRPr="003446F7" w:rsidRDefault="00D3065E" w:rsidP="00D306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11.46%</w:t>
            </w:r>
          </w:p>
        </w:tc>
      </w:tr>
    </w:tbl>
    <w:p w14:paraId="4AEDAB5A" w14:textId="77777777" w:rsidR="00D3065E" w:rsidRPr="003446F7" w:rsidRDefault="00D3065E" w:rsidP="00D3065E">
      <w:pPr>
        <w:rPr>
          <w:rFonts w:ascii="Times New Roman" w:hAnsi="Times New Roman" w:cs="Times New Roman"/>
          <w:sz w:val="28"/>
          <w:szCs w:val="28"/>
        </w:rPr>
      </w:pPr>
    </w:p>
    <w:p w14:paraId="193890AF" w14:textId="56F688DF" w:rsidR="00D3065E" w:rsidRPr="00D3065E" w:rsidRDefault="00D3065E" w:rsidP="00D3065E">
      <w:p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Выбор лучшей модели</w:t>
      </w:r>
      <w:r w:rsidRPr="00D306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 xml:space="preserve"> выбран как итоговая модель. Несмотря на чуть меньший R^2 по сравнению с GBM, RF показал самую низкую Среднюю Абсолютную Ошибку (MAE) 284.80, что является наиболее значимой метрикой с точки зрения бизнеса и интерпретации.</w:t>
      </w:r>
    </w:p>
    <w:p w14:paraId="2A1344EB" w14:textId="57437231" w:rsidR="00D3065E" w:rsidRPr="00D3065E" w:rsidRDefault="00D3065E" w:rsidP="00D3065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Визуальное доказательство точности</w:t>
      </w:r>
    </w:p>
    <w:p w14:paraId="3A5B2DBD" w14:textId="77777777" w:rsidR="00D3065E" w:rsidRPr="003446F7" w:rsidRDefault="00D3065E" w:rsidP="003446F7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3D26679B" wp14:editId="1D336201">
            <wp:extent cx="5940425" cy="3743960"/>
            <wp:effectExtent l="0" t="0" r="3175" b="8890"/>
            <wp:docPr id="1771874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D8B1" w14:textId="2DF6B9C2" w:rsidR="00D3065E" w:rsidRPr="003446F7" w:rsidRDefault="00D3065E" w:rsidP="00D306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4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Диаграмма рассеяния Фактические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Предсказанные цены</w:t>
      </w:r>
    </w:p>
    <w:p w14:paraId="3E33F03A" w14:textId="77777777" w:rsidR="00D3065E" w:rsidRPr="003446F7" w:rsidRDefault="00D3065E" w:rsidP="00D3065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8437A24" w14:textId="212721A8" w:rsidR="00D3065E" w:rsidRPr="00D3065E" w:rsidRDefault="00D3065E" w:rsidP="00D3065E">
      <w:pPr>
        <w:ind w:left="720"/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D3065E">
        <w:rPr>
          <w:rFonts w:ascii="Times New Roman" w:hAnsi="Times New Roman" w:cs="Times New Roman"/>
          <w:sz w:val="28"/>
          <w:szCs w:val="28"/>
        </w:rPr>
        <w:t>: График демонстрирует высочайшее качество прогноза, поскольку точки плотно прилегают к идеальной линии y=x, особенно в диапазоне до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D3065E">
        <w:rPr>
          <w:rFonts w:ascii="Times New Roman" w:hAnsi="Times New Roman" w:cs="Times New Roman"/>
          <w:sz w:val="28"/>
          <w:szCs w:val="28"/>
        </w:rPr>
        <w:t>10000$. Рассеивание наблюдается только в сегменте высоких цен (15000+$).</w:t>
      </w:r>
    </w:p>
    <w:p w14:paraId="6B871968" w14:textId="77777777" w:rsidR="00D3065E" w:rsidRPr="003446F7" w:rsidRDefault="00D3065E" w:rsidP="007B21D2">
      <w:pPr>
        <w:rPr>
          <w:rFonts w:ascii="Times New Roman" w:hAnsi="Times New Roman" w:cs="Times New Roman"/>
          <w:sz w:val="28"/>
          <w:szCs w:val="28"/>
        </w:rPr>
      </w:pPr>
    </w:p>
    <w:p w14:paraId="5B22F9BF" w14:textId="77777777" w:rsidR="00D3065E" w:rsidRPr="00D3065E" w:rsidRDefault="00D3065E" w:rsidP="002B7EF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4. Анализ экономической значимости факторов влияния</w:t>
      </w:r>
    </w:p>
    <w:p w14:paraId="67D3EDC6" w14:textId="60574FF3" w:rsidR="00D3065E" w:rsidRPr="00D3065E" w:rsidRDefault="00D3065E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Важность признаков (</w:t>
      </w:r>
      <w:proofErr w:type="spellStart"/>
      <w:r w:rsidRPr="00D3065E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D30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065E">
        <w:rPr>
          <w:rFonts w:ascii="Times New Roman" w:hAnsi="Times New Roman" w:cs="Times New Roman"/>
          <w:b/>
          <w:bCs/>
          <w:sz w:val="28"/>
          <w:szCs w:val="28"/>
        </w:rPr>
        <w:t>Importance</w:t>
      </w:r>
      <w:proofErr w:type="spellEnd"/>
      <w:r w:rsidRPr="00D306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55B985" w14:textId="77777777" w:rsidR="00D3065E" w:rsidRPr="00D3065E" w:rsidRDefault="00D3065E" w:rsidP="00D3065E">
      <w:p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 xml:space="preserve">Анализ важности признаков в модели 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 xml:space="preserve"> выявил истинную иерархию факторов, влияющих на цену.</w:t>
      </w:r>
    </w:p>
    <w:p w14:paraId="02DCC9DB" w14:textId="6B660362" w:rsidR="002B7EFD" w:rsidRPr="003446F7" w:rsidRDefault="002B7EFD" w:rsidP="002B7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1A7CC86C" wp14:editId="3834E58E">
            <wp:extent cx="5940425" cy="3705860"/>
            <wp:effectExtent l="0" t="0" r="3175" b="8890"/>
            <wp:docPr id="11649452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6038" w14:textId="26812D18" w:rsidR="002B7EFD" w:rsidRPr="003446F7" w:rsidRDefault="002B7EFD" w:rsidP="002B7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5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Гистограмма важности признаков</w:t>
      </w:r>
    </w:p>
    <w:p w14:paraId="55AE15D6" w14:textId="1A09375B" w:rsidR="00D3065E" w:rsidRPr="00D3065E" w:rsidRDefault="00D3065E" w:rsidP="00D30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Ключевые факторы и их экономическая значимость:</w:t>
      </w:r>
    </w:p>
    <w:p w14:paraId="12888757" w14:textId="52828205" w:rsidR="00D3065E" w:rsidRPr="00D3065E" w:rsidRDefault="00D3065E" w:rsidP="00D306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>Карат (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Carat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D3065E">
        <w:rPr>
          <w:rFonts w:ascii="Times New Roman" w:hAnsi="Times New Roman" w:cs="Times New Roman"/>
          <w:sz w:val="28"/>
          <w:szCs w:val="28"/>
        </w:rPr>
        <w:t>: Абсолютно</w:t>
      </w:r>
      <w:proofErr w:type="gramEnd"/>
      <w:r w:rsidRPr="00D3065E">
        <w:rPr>
          <w:rFonts w:ascii="Times New Roman" w:hAnsi="Times New Roman" w:cs="Times New Roman"/>
          <w:sz w:val="28"/>
          <w:szCs w:val="28"/>
        </w:rPr>
        <w:t xml:space="preserve"> доминирующий фактор (94.2% общего вклада). Цена бриллианта определяется в первую очередь его весом.</w:t>
      </w:r>
    </w:p>
    <w:p w14:paraId="1ABCCADB" w14:textId="5A8EA918" w:rsidR="00D3065E" w:rsidRPr="00D3065E" w:rsidRDefault="00D3065E" w:rsidP="00D306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>Чистота (</w:t>
      </w:r>
      <w:proofErr w:type="spellStart"/>
      <w:r w:rsidRPr="00D3065E">
        <w:rPr>
          <w:rFonts w:ascii="Times New Roman" w:hAnsi="Times New Roman" w:cs="Times New Roman"/>
          <w:sz w:val="28"/>
          <w:szCs w:val="28"/>
        </w:rPr>
        <w:t>Clarity</w:t>
      </w:r>
      <w:proofErr w:type="spellEnd"/>
      <w:r w:rsidRPr="00D3065E">
        <w:rPr>
          <w:rFonts w:ascii="Times New Roman" w:hAnsi="Times New Roman" w:cs="Times New Roman"/>
          <w:sz w:val="28"/>
          <w:szCs w:val="28"/>
        </w:rPr>
        <w:t>): Второй по важности фактор (3.3</w:t>
      </w:r>
      <w:r w:rsidR="002B7EFD" w:rsidRPr="00D3065E">
        <w:rPr>
          <w:rFonts w:ascii="Times New Roman" w:hAnsi="Times New Roman" w:cs="Times New Roman"/>
          <w:sz w:val="28"/>
          <w:szCs w:val="28"/>
        </w:rPr>
        <w:t>%</w:t>
      </w:r>
      <w:r w:rsidRPr="00D3065E">
        <w:rPr>
          <w:rFonts w:ascii="Times New Roman" w:hAnsi="Times New Roman" w:cs="Times New Roman"/>
          <w:sz w:val="28"/>
          <w:szCs w:val="28"/>
        </w:rPr>
        <w:t>).</w:t>
      </w:r>
    </w:p>
    <w:p w14:paraId="57BEFA84" w14:textId="43F2415F" w:rsidR="00D3065E" w:rsidRPr="00D3065E" w:rsidRDefault="00D3065E" w:rsidP="00D306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sz w:val="28"/>
          <w:szCs w:val="28"/>
        </w:rPr>
        <w:t>Цвет (Color): Третий по важности фактор (1.5</w:t>
      </w:r>
      <w:r w:rsidR="002B7EFD" w:rsidRPr="00D3065E">
        <w:rPr>
          <w:rFonts w:ascii="Times New Roman" w:hAnsi="Times New Roman" w:cs="Times New Roman"/>
          <w:sz w:val="28"/>
          <w:szCs w:val="28"/>
        </w:rPr>
        <w:t>%</w:t>
      </w:r>
      <w:r w:rsidRPr="00D3065E">
        <w:rPr>
          <w:rFonts w:ascii="Times New Roman" w:hAnsi="Times New Roman" w:cs="Times New Roman"/>
          <w:sz w:val="28"/>
          <w:szCs w:val="28"/>
        </w:rPr>
        <w:t>).</w:t>
      </w:r>
    </w:p>
    <w:p w14:paraId="6EF6591B" w14:textId="77777777" w:rsidR="002B7EFD" w:rsidRPr="003446F7" w:rsidRDefault="002B7EFD" w:rsidP="00D3065E">
      <w:pPr>
        <w:rPr>
          <w:rFonts w:ascii="Times New Roman" w:hAnsi="Times New Roman" w:cs="Times New Roman"/>
          <w:sz w:val="28"/>
          <w:szCs w:val="28"/>
        </w:rPr>
      </w:pPr>
    </w:p>
    <w:p w14:paraId="5CA0936C" w14:textId="77777777" w:rsidR="002B7EFD" w:rsidRPr="003446F7" w:rsidRDefault="002B7EFD" w:rsidP="00D3065E">
      <w:pPr>
        <w:rPr>
          <w:rFonts w:ascii="Times New Roman" w:hAnsi="Times New Roman" w:cs="Times New Roman"/>
          <w:sz w:val="28"/>
          <w:szCs w:val="28"/>
        </w:rPr>
      </w:pPr>
    </w:p>
    <w:p w14:paraId="549D7451" w14:textId="7BC556D1" w:rsidR="00D3065E" w:rsidRPr="00D3065E" w:rsidRDefault="00D3065E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чувствительности к весу (</w:t>
      </w:r>
      <w:proofErr w:type="spellStart"/>
      <w:r w:rsidRPr="00D3065E">
        <w:rPr>
          <w:rFonts w:ascii="Times New Roman" w:hAnsi="Times New Roman" w:cs="Times New Roman"/>
          <w:b/>
          <w:bCs/>
          <w:sz w:val="28"/>
          <w:szCs w:val="28"/>
        </w:rPr>
        <w:t>Carat</w:t>
      </w:r>
      <w:proofErr w:type="spellEnd"/>
      <w:r w:rsidRPr="00D306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0A26D8" w14:textId="6C81070E" w:rsidR="002B7EFD" w:rsidRPr="003446F7" w:rsidRDefault="002B7EFD" w:rsidP="002B7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2CF89514" wp14:editId="41148923">
            <wp:extent cx="5940425" cy="3089275"/>
            <wp:effectExtent l="0" t="0" r="3175" b="0"/>
            <wp:docPr id="18021316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3DBC" w14:textId="7D58F66F" w:rsidR="002B7EFD" w:rsidRPr="003446F7" w:rsidRDefault="002B7EFD" w:rsidP="002B7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6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PDP Plot для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carat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(взят из прошлых иллюстраций)</w:t>
      </w:r>
    </w:p>
    <w:p w14:paraId="0B1E47FD" w14:textId="17448E0C" w:rsidR="00D3065E" w:rsidRPr="00D3065E" w:rsidRDefault="00D3065E" w:rsidP="002B7EFD">
      <w:pPr>
        <w:rPr>
          <w:rFonts w:ascii="Times New Roman" w:hAnsi="Times New Roman" w:cs="Times New Roman"/>
          <w:sz w:val="28"/>
          <w:szCs w:val="28"/>
        </w:rPr>
      </w:pPr>
      <w:r w:rsidRPr="00D3065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3065E">
        <w:rPr>
          <w:rFonts w:ascii="Times New Roman" w:hAnsi="Times New Roman" w:cs="Times New Roman"/>
          <w:sz w:val="28"/>
          <w:szCs w:val="28"/>
        </w:rPr>
        <w:t>: Влияние Карата является самым сильным и линейным в логарифмическом масштабе, что доказывает, что при прочих равных условиях, вес — это главный ценообразующий фактор.</w:t>
      </w:r>
    </w:p>
    <w:p w14:paraId="5E46FE1A" w14:textId="77777777" w:rsidR="00D3065E" w:rsidRPr="003446F7" w:rsidRDefault="00D3065E" w:rsidP="007B21D2">
      <w:pPr>
        <w:rPr>
          <w:rFonts w:ascii="Times New Roman" w:hAnsi="Times New Roman" w:cs="Times New Roman"/>
          <w:sz w:val="28"/>
          <w:szCs w:val="28"/>
        </w:rPr>
      </w:pPr>
    </w:p>
    <w:p w14:paraId="79D0362C" w14:textId="77777777" w:rsidR="002B7EFD" w:rsidRPr="003446F7" w:rsidRDefault="002B7EFD" w:rsidP="007B21D2">
      <w:pPr>
        <w:rPr>
          <w:rFonts w:ascii="Times New Roman" w:hAnsi="Times New Roman" w:cs="Times New Roman"/>
          <w:sz w:val="28"/>
          <w:szCs w:val="28"/>
        </w:rPr>
      </w:pPr>
    </w:p>
    <w:p w14:paraId="1D2BAED5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13593E92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6D4C7976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0D955AA3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0D0E4E01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58BF7E33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0D9D9071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520A9347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584047CB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20C4FC18" w14:textId="77777777" w:rsidR="00E75098" w:rsidRPr="003446F7" w:rsidRDefault="00E75098" w:rsidP="007B21D2">
      <w:pPr>
        <w:rPr>
          <w:rFonts w:ascii="Times New Roman" w:hAnsi="Times New Roman" w:cs="Times New Roman"/>
          <w:sz w:val="28"/>
          <w:szCs w:val="28"/>
        </w:rPr>
      </w:pPr>
    </w:p>
    <w:p w14:paraId="355020B4" w14:textId="77777777" w:rsidR="002B7EFD" w:rsidRPr="002B7EFD" w:rsidRDefault="002B7EFD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7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Практические выводы для рынка бриллиантов</w:t>
      </w:r>
    </w:p>
    <w:p w14:paraId="5E03582E" w14:textId="77777777" w:rsidR="002B7EFD" w:rsidRPr="002B7EFD" w:rsidRDefault="002B7EFD" w:rsidP="002B7EFD">
      <w:pPr>
        <w:rPr>
          <w:rFonts w:ascii="Times New Roman" w:hAnsi="Times New Roman" w:cs="Times New Roman"/>
          <w:sz w:val="28"/>
          <w:szCs w:val="28"/>
        </w:rPr>
      </w:pPr>
      <w:r w:rsidRPr="002B7EFD">
        <w:rPr>
          <w:rFonts w:ascii="Times New Roman" w:hAnsi="Times New Roman" w:cs="Times New Roman"/>
          <w:sz w:val="28"/>
          <w:szCs w:val="28"/>
        </w:rPr>
        <w:t>Практические выводы основаны на детальном анализе ошибок модели (Раздел 7.в), что является наиболее ценной частью проекта для бизнеса.</w:t>
      </w:r>
    </w:p>
    <w:p w14:paraId="415ABECB" w14:textId="7DCE1906" w:rsidR="002B7EFD" w:rsidRPr="002B7EFD" w:rsidRDefault="002B7EFD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7EFD">
        <w:rPr>
          <w:rFonts w:ascii="Times New Roman" w:hAnsi="Times New Roman" w:cs="Times New Roman"/>
          <w:b/>
          <w:bCs/>
          <w:sz w:val="28"/>
          <w:szCs w:val="28"/>
        </w:rPr>
        <w:t>Рекомендации по сегментации и аудиту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B7EFD" w:rsidRPr="003446F7" w14:paraId="50323041" w14:textId="77777777" w:rsidTr="00ED389D">
        <w:tc>
          <w:tcPr>
            <w:tcW w:w="2392" w:type="dxa"/>
            <w:vAlign w:val="center"/>
          </w:tcPr>
          <w:p w14:paraId="1354D2C9" w14:textId="2C6C6BA5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Сегмент</w:t>
            </w:r>
          </w:p>
        </w:tc>
        <w:tc>
          <w:tcPr>
            <w:tcW w:w="2393" w:type="dxa"/>
            <w:vAlign w:val="center"/>
          </w:tcPr>
          <w:p w14:paraId="38271BD2" w14:textId="566A7627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Средняя ошибка (MAE)</w:t>
            </w:r>
          </w:p>
        </w:tc>
        <w:tc>
          <w:tcPr>
            <w:tcW w:w="2393" w:type="dxa"/>
            <w:vAlign w:val="center"/>
          </w:tcPr>
          <w:p w14:paraId="4F6326F9" w14:textId="4D438E82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Практический вывод</w:t>
            </w:r>
          </w:p>
        </w:tc>
        <w:tc>
          <w:tcPr>
            <w:tcW w:w="2393" w:type="dxa"/>
            <w:vAlign w:val="center"/>
          </w:tcPr>
          <w:p w14:paraId="29DAF693" w14:textId="33BEF0FC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a4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Визуальное доказательство</w:t>
            </w:r>
          </w:p>
        </w:tc>
      </w:tr>
      <w:tr w:rsidR="002B7EFD" w:rsidRPr="003446F7" w14:paraId="2C91C41E" w14:textId="77777777" w:rsidTr="00ED389D">
        <w:tc>
          <w:tcPr>
            <w:tcW w:w="2392" w:type="dxa"/>
            <w:vAlign w:val="center"/>
          </w:tcPr>
          <w:p w14:paraId="30721910" w14:textId="3F2FD2A2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Мелкие камни (до 1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ct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93" w:type="dxa"/>
            <w:vAlign w:val="center"/>
          </w:tcPr>
          <w:p w14:paraId="2438406C" w14:textId="05DC3FEB" w:rsidR="002B7EFD" w:rsidRPr="003446F7" w:rsidRDefault="002B7EFD" w:rsidP="002B7E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 xml:space="preserve">$ </w:t>
            </w:r>
            <w:r w:rsidRPr="003446F7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101.94</w:t>
            </w:r>
          </w:p>
        </w:tc>
        <w:tc>
          <w:tcPr>
            <w:tcW w:w="2393" w:type="dxa"/>
            <w:vAlign w:val="center"/>
          </w:tcPr>
          <w:p w14:paraId="1D0C3F43" w14:textId="101CDAF4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Высокая точность. Модель подходит для полной автоматизации оценки в этом сегменте.</w:t>
            </w:r>
          </w:p>
        </w:tc>
        <w:tc>
          <w:tcPr>
            <w:tcW w:w="2393" w:type="dxa"/>
            <w:vAlign w:val="center"/>
          </w:tcPr>
          <w:p w14:paraId="79E3A083" w14:textId="3E0884BA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Таблица MAE по диапазонам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Carat</w:t>
            </w:r>
            <w:proofErr w:type="spellEnd"/>
          </w:p>
        </w:tc>
      </w:tr>
      <w:tr w:rsidR="002B7EFD" w:rsidRPr="003446F7" w14:paraId="1BC80E8F" w14:textId="77777777" w:rsidTr="00ED389D">
        <w:tc>
          <w:tcPr>
            <w:tcW w:w="2392" w:type="dxa"/>
            <w:vAlign w:val="center"/>
          </w:tcPr>
          <w:p w14:paraId="6F1D768E" w14:textId="67D8B55A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Крупные камни (3-5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ct</w:t>
            </w:r>
            <w:proofErr w:type="spellEnd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93" w:type="dxa"/>
            <w:vAlign w:val="center"/>
          </w:tcPr>
          <w:p w14:paraId="585A269C" w14:textId="777C9441" w:rsidR="002B7EFD" w:rsidRPr="003446F7" w:rsidRDefault="002B7EFD" w:rsidP="002B7E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$ 5801.18</w:t>
            </w:r>
          </w:p>
        </w:tc>
        <w:tc>
          <w:tcPr>
            <w:tcW w:w="2393" w:type="dxa"/>
            <w:vAlign w:val="center"/>
          </w:tcPr>
          <w:p w14:paraId="158826C9" w14:textId="6E7A11B9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Низкая точность. Для инвестиционных и редких камней необходим обязательный ручной аудит оценщика.</w:t>
            </w:r>
          </w:p>
        </w:tc>
        <w:tc>
          <w:tcPr>
            <w:tcW w:w="2393" w:type="dxa"/>
            <w:vAlign w:val="center"/>
          </w:tcPr>
          <w:p w14:paraId="2344A704" w14:textId="5C06DC38" w:rsidR="002B7EFD" w:rsidRPr="003446F7" w:rsidRDefault="002B7EFD" w:rsidP="002B7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Таблица MAE по диапазонам </w:t>
            </w:r>
            <w:proofErr w:type="spellStart"/>
            <w:r w:rsidRPr="003446F7">
              <w:rPr>
                <w:rFonts w:ascii="Arial" w:hAnsi="Arial" w:cs="Arial"/>
                <w:color w:val="1F1F1F"/>
                <w:bdr w:val="none" w:sz="0" w:space="0" w:color="auto" w:frame="1"/>
              </w:rPr>
              <w:t>Carat</w:t>
            </w:r>
            <w:proofErr w:type="spellEnd"/>
          </w:p>
        </w:tc>
      </w:tr>
    </w:tbl>
    <w:p w14:paraId="7C0EFB57" w14:textId="77777777" w:rsidR="002B7EFD" w:rsidRPr="003446F7" w:rsidRDefault="002B7EFD" w:rsidP="002B7EFD">
      <w:pPr>
        <w:rPr>
          <w:rFonts w:ascii="Times New Roman" w:hAnsi="Times New Roman" w:cs="Times New Roman"/>
          <w:sz w:val="28"/>
          <w:szCs w:val="28"/>
        </w:rPr>
      </w:pPr>
    </w:p>
    <w:p w14:paraId="09FD70D2" w14:textId="5B78283C" w:rsidR="00E75098" w:rsidRPr="003446F7" w:rsidRDefault="003446F7" w:rsidP="003446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2AF09E" wp14:editId="39795FFA">
            <wp:extent cx="5940425" cy="3770630"/>
            <wp:effectExtent l="0" t="0" r="3175" b="1270"/>
            <wp:docPr id="11866106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2435" w14:textId="78332503" w:rsidR="00E75098" w:rsidRPr="003446F7" w:rsidRDefault="00E75098" w:rsidP="00E75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7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Фактические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Прогнозные значения</w:t>
      </w:r>
    </w:p>
    <w:p w14:paraId="4CB8F55A" w14:textId="1360A9C4" w:rsidR="00E75098" w:rsidRPr="003446F7" w:rsidRDefault="00E75098" w:rsidP="002B7EFD">
      <w:pPr>
        <w:rPr>
          <w:rFonts w:ascii="Times New Roman" w:hAnsi="Times New Roman" w:cs="Times New Roman"/>
          <w:sz w:val="28"/>
          <w:szCs w:val="28"/>
        </w:rPr>
      </w:pPr>
      <w:r w:rsidRPr="00E75098">
        <w:rPr>
          <w:rFonts w:ascii="Times New Roman" w:hAnsi="Times New Roman" w:cs="Times New Roman"/>
          <w:sz w:val="28"/>
          <w:szCs w:val="28"/>
        </w:rPr>
        <w:t xml:space="preserve">График демонстрирует высокую прогностическую способность модели </w:t>
      </w:r>
      <w:proofErr w:type="spellStart"/>
      <w:r w:rsidRPr="00E75098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7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5098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75098">
        <w:rPr>
          <w:rFonts w:ascii="Times New Roman" w:hAnsi="Times New Roman" w:cs="Times New Roman"/>
          <w:sz w:val="28"/>
          <w:szCs w:val="28"/>
        </w:rPr>
        <w:t>. Точки группируются вдоль линии идеального прогноза (y=x), что визуально подтверждает очень низкий уровень ошибки.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E75098">
        <w:rPr>
          <w:rFonts w:ascii="Times New Roman" w:hAnsi="Times New Roman" w:cs="Times New Roman"/>
          <w:sz w:val="28"/>
          <w:szCs w:val="28"/>
        </w:rPr>
        <w:t xml:space="preserve">Рассеивание </w:t>
      </w:r>
      <w:r w:rsidRPr="00E75098">
        <w:rPr>
          <w:rFonts w:ascii="Times New Roman" w:hAnsi="Times New Roman" w:cs="Times New Roman"/>
          <w:sz w:val="28"/>
          <w:szCs w:val="28"/>
        </w:rPr>
        <w:lastRenderedPageBreak/>
        <w:t>точек вокруг линии кажется равномерным по всему диапазону цен, что указывает на отсутствие систематического смещения (модель не ошибается больше на дешевых или дорогих бриллиантах).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E75098">
        <w:rPr>
          <w:rFonts w:ascii="Times New Roman" w:hAnsi="Times New Roman" w:cs="Times New Roman"/>
          <w:sz w:val="28"/>
          <w:szCs w:val="28"/>
        </w:rPr>
        <w:t>Это визуальное доказательство того, что модель может предсказать логарифм цены с высокой точностью на новых, невидимых данных.</w:t>
      </w:r>
    </w:p>
    <w:p w14:paraId="447EF8E8" w14:textId="38B859FA" w:rsidR="002B7EFD" w:rsidRPr="002B7EFD" w:rsidRDefault="002B7EFD" w:rsidP="003446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7EFD">
        <w:rPr>
          <w:rFonts w:ascii="Times New Roman" w:hAnsi="Times New Roman" w:cs="Times New Roman"/>
          <w:b/>
          <w:bCs/>
          <w:sz w:val="28"/>
          <w:szCs w:val="28"/>
        </w:rPr>
        <w:t>Выявление проблемного сегмента</w:t>
      </w:r>
    </w:p>
    <w:p w14:paraId="190ADB67" w14:textId="09C69262" w:rsidR="002B7EFD" w:rsidRPr="002B7EFD" w:rsidRDefault="002B7EFD" w:rsidP="00E75098">
      <w:pPr>
        <w:rPr>
          <w:rFonts w:ascii="Times New Roman" w:hAnsi="Times New Roman" w:cs="Times New Roman"/>
          <w:sz w:val="28"/>
          <w:szCs w:val="28"/>
        </w:rPr>
      </w:pPr>
      <w:r w:rsidRPr="002B7EFD">
        <w:rPr>
          <w:rFonts w:ascii="Times New Roman" w:hAnsi="Times New Roman" w:cs="Times New Roman"/>
          <w:sz w:val="28"/>
          <w:szCs w:val="28"/>
        </w:rPr>
        <w:t>Анализ ошибок по огранке выявил аномалию</w:t>
      </w:r>
      <w:r w:rsidR="00E75098" w:rsidRPr="003446F7">
        <w:rPr>
          <w:rFonts w:ascii="Times New Roman" w:hAnsi="Times New Roman" w:cs="Times New Roman"/>
          <w:sz w:val="28"/>
          <w:szCs w:val="28"/>
        </w:rPr>
        <w:t xml:space="preserve"> - с</w:t>
      </w:r>
      <w:r w:rsidRPr="002B7EFD">
        <w:rPr>
          <w:rFonts w:ascii="Times New Roman" w:hAnsi="Times New Roman" w:cs="Times New Roman"/>
          <w:sz w:val="28"/>
          <w:szCs w:val="28"/>
        </w:rPr>
        <w:t xml:space="preserve">амая высокая ошибка (647$) наблюдается в самой качественной категории </w:t>
      </w:r>
      <w:proofErr w:type="spellStart"/>
      <w:r w:rsidRPr="002B7EFD">
        <w:rPr>
          <w:rFonts w:ascii="Times New Roman" w:hAnsi="Times New Roman" w:cs="Times New Roman"/>
          <w:sz w:val="28"/>
          <w:szCs w:val="28"/>
        </w:rPr>
        <w:t>Ideal</w:t>
      </w:r>
      <w:proofErr w:type="spellEnd"/>
      <w:r w:rsidRPr="002B7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EFD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2B7EFD">
        <w:rPr>
          <w:rFonts w:ascii="Times New Roman" w:hAnsi="Times New Roman" w:cs="Times New Roman"/>
          <w:sz w:val="28"/>
          <w:szCs w:val="28"/>
        </w:rPr>
        <w:t>.</w:t>
      </w:r>
    </w:p>
    <w:p w14:paraId="761B9D9A" w14:textId="27666A3B" w:rsidR="00E75098" w:rsidRPr="003446F7" w:rsidRDefault="00E75098" w:rsidP="00E7509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446F7">
        <w:rPr>
          <w:noProof/>
        </w:rPr>
        <w:drawing>
          <wp:inline distT="0" distB="0" distL="0" distR="0" wp14:anchorId="2504D277" wp14:editId="62D50DEB">
            <wp:extent cx="5940425" cy="3782060"/>
            <wp:effectExtent l="0" t="0" r="3175" b="8890"/>
            <wp:docPr id="2601286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6550" w14:textId="00CA0556" w:rsidR="00E75098" w:rsidRPr="003446F7" w:rsidRDefault="00E75098" w:rsidP="00E7509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6F7">
        <w:rPr>
          <w:rFonts w:ascii="Times New Roman" w:hAnsi="Times New Roman" w:cs="Times New Roman"/>
          <w:sz w:val="28"/>
          <w:szCs w:val="28"/>
        </w:rPr>
        <w:t>8</w:t>
      </w:r>
      <w:r w:rsidRPr="003446F7">
        <w:rPr>
          <w:rFonts w:ascii="Times New Roman" w:hAnsi="Times New Roman" w:cs="Times New Roman"/>
          <w:sz w:val="28"/>
          <w:szCs w:val="28"/>
        </w:rPr>
        <w:t xml:space="preserve"> – Распределение остатков (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Residuals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446F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46F7">
        <w:rPr>
          <w:rFonts w:ascii="Times New Roman" w:hAnsi="Times New Roman" w:cs="Times New Roman"/>
          <w:sz w:val="28"/>
          <w:szCs w:val="28"/>
        </w:rPr>
        <w:t>Price)</w:t>
      </w:r>
    </w:p>
    <w:p w14:paraId="6F8849AD" w14:textId="77777777" w:rsidR="00E75098" w:rsidRPr="003446F7" w:rsidRDefault="00E75098" w:rsidP="00E7509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4A97E30" w14:textId="5D876B76" w:rsidR="00E75098" w:rsidRPr="00E75098" w:rsidRDefault="00E75098" w:rsidP="00E75098">
      <w:pPr>
        <w:rPr>
          <w:rFonts w:ascii="Times New Roman" w:hAnsi="Times New Roman" w:cs="Times New Roman"/>
          <w:sz w:val="28"/>
          <w:szCs w:val="28"/>
        </w:rPr>
      </w:pPr>
      <w:r w:rsidRPr="00E75098">
        <w:rPr>
          <w:rFonts w:ascii="Times New Roman" w:hAnsi="Times New Roman" w:cs="Times New Roman"/>
          <w:sz w:val="28"/>
          <w:szCs w:val="28"/>
        </w:rPr>
        <w:t>Распределение остатков является симметричным и центровано около нуля (красная пунктирная линия).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E75098">
        <w:rPr>
          <w:rFonts w:ascii="Times New Roman" w:hAnsi="Times New Roman" w:cs="Times New Roman"/>
          <w:sz w:val="28"/>
          <w:szCs w:val="28"/>
        </w:rPr>
        <w:t>Это подтверждает, что ошибки модели не имеют систематической структуры (то есть, модель не "упускает" важный признак) и являются случайным шумом. Это ключевое требование для статистической надежности регрессии (нормальное распределение ошибок).</w:t>
      </w:r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r w:rsidRPr="00E75098">
        <w:rPr>
          <w:rFonts w:ascii="Times New Roman" w:hAnsi="Times New Roman" w:cs="Times New Roman"/>
          <w:sz w:val="28"/>
          <w:szCs w:val="28"/>
        </w:rPr>
        <w:t>Этот график подтверждает, что нет необходимости в дополнительных преобразованиях или включении пропущенных переменных, так как модель хорошо справляется с объяснением вариации цены.</w:t>
      </w:r>
    </w:p>
    <w:p w14:paraId="7D7CDF64" w14:textId="748299D0" w:rsidR="002B7EFD" w:rsidRPr="003446F7" w:rsidRDefault="003446F7" w:rsidP="00E75098">
      <w:pPr>
        <w:rPr>
          <w:rFonts w:ascii="Times New Roman" w:hAnsi="Times New Roman" w:cs="Times New Roman"/>
          <w:sz w:val="28"/>
          <w:szCs w:val="28"/>
        </w:rPr>
      </w:pPr>
      <w:r w:rsidRPr="003446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3446F7">
        <w:rPr>
          <w:rFonts w:ascii="Times New Roman" w:hAnsi="Times New Roman" w:cs="Times New Roman"/>
          <w:sz w:val="28"/>
          <w:szCs w:val="28"/>
        </w:rPr>
        <w:t xml:space="preserve">: </w:t>
      </w:r>
      <w:r w:rsidRPr="003446F7">
        <w:rPr>
          <w:rFonts w:ascii="Times New Roman" w:hAnsi="Times New Roman" w:cs="Times New Roman"/>
          <w:sz w:val="28"/>
          <w:szCs w:val="28"/>
        </w:rPr>
        <w:t xml:space="preserve">Построенная модель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6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3446F7">
        <w:rPr>
          <w:rFonts w:ascii="Times New Roman" w:hAnsi="Times New Roman" w:cs="Times New Roman"/>
          <w:sz w:val="28"/>
          <w:szCs w:val="28"/>
        </w:rPr>
        <w:t xml:space="preserve"> успешно решает поставленную задачу, обеспечивая высокую точность и надежную интерпретацию ценообразования бриллиантов, где вес является ключевым, а качество (Чистота и Цвет) вносит меньший, но важный вклад.</w:t>
      </w:r>
    </w:p>
    <w:sectPr w:rsidR="002B7EFD" w:rsidRPr="00344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608E"/>
    <w:multiLevelType w:val="multilevel"/>
    <w:tmpl w:val="095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7C75"/>
    <w:multiLevelType w:val="multilevel"/>
    <w:tmpl w:val="EDA2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3124E"/>
    <w:multiLevelType w:val="multilevel"/>
    <w:tmpl w:val="2126F9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31CE1"/>
    <w:multiLevelType w:val="multilevel"/>
    <w:tmpl w:val="355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E72F3"/>
    <w:multiLevelType w:val="multilevel"/>
    <w:tmpl w:val="625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92416"/>
    <w:multiLevelType w:val="multilevel"/>
    <w:tmpl w:val="32A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B1D39"/>
    <w:multiLevelType w:val="multilevel"/>
    <w:tmpl w:val="828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06BF"/>
    <w:multiLevelType w:val="multilevel"/>
    <w:tmpl w:val="F5B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7398D"/>
    <w:multiLevelType w:val="multilevel"/>
    <w:tmpl w:val="39B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F5315"/>
    <w:multiLevelType w:val="multilevel"/>
    <w:tmpl w:val="268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75192"/>
    <w:multiLevelType w:val="multilevel"/>
    <w:tmpl w:val="22E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B139E3"/>
    <w:multiLevelType w:val="multilevel"/>
    <w:tmpl w:val="F24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51C63"/>
    <w:multiLevelType w:val="multilevel"/>
    <w:tmpl w:val="8068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71880"/>
    <w:multiLevelType w:val="multilevel"/>
    <w:tmpl w:val="277C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4065">
    <w:abstractNumId w:val="13"/>
  </w:num>
  <w:num w:numId="2" w16cid:durableId="1644114215">
    <w:abstractNumId w:val="4"/>
  </w:num>
  <w:num w:numId="3" w16cid:durableId="1213422585">
    <w:abstractNumId w:val="12"/>
  </w:num>
  <w:num w:numId="4" w16cid:durableId="810177348">
    <w:abstractNumId w:val="10"/>
  </w:num>
  <w:num w:numId="5" w16cid:durableId="1666199131">
    <w:abstractNumId w:val="7"/>
  </w:num>
  <w:num w:numId="6" w16cid:durableId="507409398">
    <w:abstractNumId w:val="0"/>
  </w:num>
  <w:num w:numId="7" w16cid:durableId="6835760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88806387">
    <w:abstractNumId w:val="2"/>
  </w:num>
  <w:num w:numId="9" w16cid:durableId="143721761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7571828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33629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43137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300331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6808968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D6A"/>
    <w:rsid w:val="002424D4"/>
    <w:rsid w:val="002B7EFD"/>
    <w:rsid w:val="003446F7"/>
    <w:rsid w:val="00456D6A"/>
    <w:rsid w:val="004F780B"/>
    <w:rsid w:val="007B21D2"/>
    <w:rsid w:val="00D3065E"/>
    <w:rsid w:val="00DB1B65"/>
    <w:rsid w:val="00E1427A"/>
    <w:rsid w:val="00E24792"/>
    <w:rsid w:val="00E75098"/>
    <w:rsid w:val="00F4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8E6C"/>
  <w15:docId w15:val="{76D73380-797B-4D26-A319-8F2FF3A2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0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3065E"/>
    <w:rPr>
      <w:b/>
      <w:bCs/>
    </w:rPr>
  </w:style>
  <w:style w:type="character" w:customStyle="1" w:styleId="math-inline">
    <w:name w:val="math-inline"/>
    <w:basedOn w:val="a0"/>
    <w:rsid w:val="002B7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4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Vlad Nesvetaylov</cp:lastModifiedBy>
  <cp:revision>4</cp:revision>
  <dcterms:created xsi:type="dcterms:W3CDTF">2025-12-16T05:28:00Z</dcterms:created>
  <dcterms:modified xsi:type="dcterms:W3CDTF">2025-12-16T09:52:00Z</dcterms:modified>
</cp:coreProperties>
</file>