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E7D7A"/>
          <w:sz w:val="20"/>
          <w:szCs w:val="20"/>
        </w:rPr>
        <w:t xml:space="preserve">PROPOSTA FORMATIVA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2262B"/>
          <w:sz w:val="44"/>
          <w:szCs w:val="44"/>
        </w:rPr>
        <w:t xml:space="preserve">AI Literacy: consapevolezza e normativa per un uso responsabile dell'AI</w:t>
      </w:r>
    </w:p>
    <w:p>
      <w:pPr>
        <w:spacing w:after="360"/>
      </w:pPr>
      <w:r>
        <w:rPr>
          <w:rFonts w:ascii="Arial" w:cs="Arial" w:eastAsia="Arial" w:hAnsi="Arial"/>
          <w:color w:val="4A515C"/>
          <w:sz w:val="24"/>
          <w:szCs w:val="24"/>
        </w:rPr>
        <w:t xml:space="preserve">Percorso per i reparti Amministrazione, Legal e Customer Care di Certego</w:t>
      </w:r>
    </w:p>
    <w:p>
      <w:pPr>
        <w:pBdr>
          <w:bottom w:val="single" w:color="2E7D7A" w:sz="8" w:space="6"/>
        </w:pBdr>
        <w:spacing w:after="360"/>
      </w:pPr>
      <w:r>
        <w:rPr>
          <w:rFonts w:ascii="Arial" w:cs="Arial" w:eastAsia="Arial" w:hAnsi="Arial"/>
          <w:color w:val="4A515C"/>
          <w:sz w:val="18"/>
          <w:szCs w:val="18"/>
        </w:rPr>
        <w:t xml:space="preserve">Ottobre 2026  ·  Bozza da condividere con il committente</w:t>
      </w:r>
    </w:p>
    <w:p>
      <w:pPr>
        <w:pStyle w:val="Heading1"/>
      </w:pPr>
      <w:r>
        <w:rPr>
          <w:rFonts w:ascii="Arial" w:cs="Arial" w:eastAsia="Arial" w:hAnsi="Arial"/>
        </w:rPr>
        <w:t xml:space="preserve">Il percorso in sintesi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Personale dei reparti Amministrazione, Legal e Customer Care</w:t>
            </w:r>
          </w:p>
        </w:tc>
      </w:tr>
      <w:tr>
        <w:tc>
          <w:tcPr>
            <w:tcW w:type="dxa" w:w="26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Durata</w:t>
            </w:r>
          </w:p>
        </w:tc>
        <w:tc>
          <w:tcPr>
            <w:tcW w:type="dxa" w:w="70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 ore, 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due incontri da 4 ore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 distanza di 1-2 settimane</w:t>
            </w:r>
          </w:p>
        </w:tc>
      </w:tr>
      <w:tr>
        <w:tc>
          <w:tcPr>
            <w:tcW w:type="dxa" w:w="26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70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Percorso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espositivo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completo e autonomo: funziona anche senza attività di gruppo</w:t>
            </w:r>
          </w:p>
        </w:tc>
      </w:tr>
      <w:tr>
        <w:tc>
          <w:tcPr>
            <w:tcW w:type="dxa" w:w="26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Integrazioni possibili</w:t>
            </w:r>
          </w:p>
        </w:tc>
        <w:tc>
          <w:tcPr>
            <w:tcW w:type="dxa" w:w="70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Brainstorming-esercitazioni opzionali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da concordare, che applicano alcuni argomenti ai casi reali dei reparti</w:t>
            </w:r>
          </w:p>
        </w:tc>
      </w:tr>
      <w:tr>
        <w:tc>
          <w:tcPr>
            <w:tcW w:type="dxa" w:w="26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Filo conduttore</w:t>
            </w:r>
          </w:p>
        </w:tc>
        <w:tc>
          <w:tcPr>
            <w:tcW w:type="dxa" w:w="70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Ogni argomento contribuisce a una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policy di reparto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sull'uso dell'AI</w:t>
            </w:r>
          </w:p>
        </w:tc>
      </w:tr>
      <w:tr>
        <w:tc>
          <w:tcPr>
            <w:tcW w:type="dxa" w:w="26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Formato</w:t>
            </w:r>
          </w:p>
        </w:tc>
        <w:tc>
          <w:tcPr>
            <w:tcW w:type="dxa" w:w="70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presenza (consigliato) oppure online</w:t>
            </w:r>
          </w:p>
        </w:tc>
      </w:tr>
      <w:tr>
        <w:tc>
          <w:tcPr>
            <w:tcW w:type="dxa" w:w="26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Risultato</w:t>
            </w:r>
          </w:p>
        </w:tc>
        <w:tc>
          <w:tcPr>
            <w:tcW w:type="dxa" w:w="70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Conoscenze comuni su rischi e regole; esempi o bozze di policy per i tre reparti, da sottoporre alla direzione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Perché questo percorso</w:t>
      </w:r>
    </w:p>
    <w:p>
      <w:pPr>
        <w:spacing w:after="120" w:line="288"/>
      </w:pPr>
      <w:r>
        <w:rPr>
          <w:rFonts w:ascii="Arial" w:cs="Arial" w:eastAsia="Arial" w:hAnsi="Arial"/>
        </w:rPr>
        <w:t xml:space="preserve">L'AI generativa è già entrata nel lavoro di tutti i giorni: nelle suite d'ufficio, nei gestionali, negli strumenti che le persone usano anche di propria iniziativa. Per un'azienda che si occupa di sicurezza informatica il punto non è soltanto usarla bene, ma </w:t>
      </w:r>
      <w:r>
        <w:rPr>
          <w:rFonts w:ascii="Arial" w:cs="Arial" w:eastAsia="Arial" w:hAnsi="Arial"/>
          <w:b/>
          <w:bCs/>
        </w:rPr>
        <w:t xml:space="preserve">usarla senza esporre le informazioni dei clienti</w:t>
      </w:r>
      <w:r>
        <w:rPr>
          <w:rFonts w:ascii="Arial" w:cs="Arial" w:eastAsia="Arial" w:hAnsi="Arial"/>
        </w:rPr>
        <w:t xml:space="preserve"> e nel rispetto di un quadro normativo che si sta definendo proprio ora.</w:t>
      </w:r>
    </w:p>
    <w:p>
      <w:pPr>
        <w:spacing w:after="120" w:line="288"/>
      </w:pPr>
      <w:r>
        <w:rPr>
          <w:rFonts w:ascii="Arial" w:cs="Arial" w:eastAsia="Arial" w:hAnsi="Arial"/>
        </w:rPr>
        <w:t xml:space="preserve">Il percorso è pensato per chi lavora in ambito amministrativo, legale e di assistenza ai clienti: persone che non devono costruire sistemi di AI, ma che devono sapere </w:t>
      </w:r>
      <w:r>
        <w:rPr>
          <w:rFonts w:ascii="Arial" w:cs="Arial" w:eastAsia="Arial" w:hAnsi="Arial"/>
          <w:b/>
          <w:bCs/>
        </w:rPr>
        <w:t xml:space="preserve">che cosa possono affidare all'AI, con quali dati, con quali controlli</w:t>
      </w:r>
      <w:r>
        <w:rPr>
          <w:rFonts w:ascii="Arial" w:cs="Arial" w:eastAsia="Arial" w:hAnsi="Arial"/>
        </w:rPr>
        <w:t xml:space="preserve"> e quali regole si applicano.</w:t>
      </w:r>
    </w:p>
    <w:p>
      <w:pPr>
        <w:spacing w:after="120" w:line="288"/>
      </w:pPr>
      <w:r>
        <w:rPr>
          <w:rFonts w:ascii="Arial" w:cs="Arial" w:eastAsia="Arial" w:hAnsi="Arial"/>
        </w:rPr>
        <w:t xml:space="preserve">L'AI Act chiede alle organizzazioni che utilizzano sistemi di AI di sostenere l'alfabetizzazione del proprio personale (articolo 4, nella versione modificata nel 2026). Un percorso formativo è una delle misure possibili; da solo non dimostra la conformità, ma ne è una componente concreta.</w:t>
      </w:r>
    </w:p>
    <w:p>
      <w:pPr>
        <w:pStyle w:val="Heading2"/>
      </w:pPr>
      <w:r>
        <w:rPr>
          <w:rFonts w:ascii="Arial" w:cs="Arial" w:eastAsia="Arial" w:hAnsi="Arial"/>
        </w:rPr>
        <w:t xml:space="preserve">Obiettivi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Consapevolezza:</w:t>
      </w:r>
      <w:r>
        <w:rPr>
          <w:rFonts w:ascii="Arial" w:cs="Arial" w:eastAsia="Arial" w:hAnsi="Arial"/>
        </w:rPr>
        <w:t xml:space="preserve"> capire come funziona e come sbaglia l'AI generativa, e quali rischi introduce per le informazioni: dati dei clienti, istruzioni nascoste nei documenti, contenuti falsificati, uso di strumenti non autorizzati.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Normativa:</w:t>
      </w:r>
      <w:r>
        <w:rPr>
          <w:rFonts w:ascii="Arial" w:cs="Arial" w:eastAsia="Arial" w:hAnsi="Arial"/>
        </w:rPr>
        <w:t xml:space="preserve"> conoscere il quadro essenziale (AI Act, GDPR, NIS2, Legge italiana 132/2025), i ruoli e le responsabilità di chi usa sistemi di AI, e l'esistenza di standard volontari di gestione.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Regole di reparto:</w:t>
      </w:r>
      <w:r>
        <w:rPr>
          <w:rFonts w:ascii="Arial" w:cs="Arial" w:eastAsia="Arial" w:hAnsi="Arial"/>
        </w:rPr>
        <w:t xml:space="preserve"> tradurre consapevolezza e normativa in una </w:t>
      </w:r>
      <w:r>
        <w:rPr>
          <w:rFonts w:ascii="Arial" w:cs="Arial" w:eastAsia="Arial" w:hAnsi="Arial"/>
          <w:b/>
          <w:bCs/>
        </w:rPr>
        <w:t xml:space="preserve">policy di reparto</w:t>
      </w:r>
      <w:r>
        <w:rPr>
          <w:rFonts w:ascii="Arial" w:cs="Arial" w:eastAsia="Arial" w:hAnsi="Arial"/>
        </w:rPr>
        <w:t xml:space="preserve"> chiara, che dica che cosa è consentito, con quali cautele, che cosa va autorizzato e che cosa è vietato.</w:t>
      </w:r>
    </w:p>
    <w:p>
      <w:pPr>
        <w:pStyle w:val="Heading1"/>
      </w:pPr>
      <w:r>
        <w:rPr>
          <w:rFonts w:ascii="Arial" w:cs="Arial" w:eastAsia="Arial" w:hAnsi="Arial"/>
        </w:rPr>
        <w:t xml:space="preserve">Come è costruito</w:t>
      </w:r>
    </w:p>
    <w:p>
      <w:pPr>
        <w:spacing w:after="120" w:line="288"/>
      </w:pPr>
      <w:r>
        <w:rPr>
          <w:rFonts w:ascii="Arial" w:cs="Arial" w:eastAsia="Arial" w:hAnsi="Arial"/>
        </w:rPr>
        <w:t xml:space="preserve">Il percorso ha una </w:t>
      </w:r>
      <w:r>
        <w:rPr>
          <w:rFonts w:ascii="Arial" w:cs="Arial" w:eastAsia="Arial" w:hAnsi="Arial"/>
          <w:b/>
          <w:bCs/>
        </w:rPr>
        <w:t xml:space="preserve">struttura base espositiva</w:t>
      </w:r>
      <w:r>
        <w:rPr>
          <w:rFonts w:ascii="Arial" w:cs="Arial" w:eastAsia="Arial" w:hAnsi="Arial"/>
        </w:rPr>
        <w:t xml:space="preserve">: il formatore presenta gli argomenti con esempi concreti, tutti fittizi, e brevi domande all'aula. Questa struttura copre per intero gli obiettivi ed è la proposta di riferimento.</w:t>
      </w:r>
    </w:p>
    <w:p>
      <w:pPr>
        <w:spacing w:after="120" w:line="288"/>
      </w:pPr>
      <w:r>
        <w:rPr>
          <w:rFonts w:ascii="Arial" w:cs="Arial" w:eastAsia="Arial" w:hAnsi="Arial"/>
        </w:rPr>
        <w:t xml:space="preserve">In ciascun incontro si può inserire un </w:t>
      </w:r>
      <w:r>
        <w:rPr>
          <w:rFonts w:ascii="Arial" w:cs="Arial" w:eastAsia="Arial" w:hAnsi="Arial"/>
          <w:b/>
          <w:bCs/>
        </w:rPr>
        <w:t xml:space="preserve">brainstorming-esercitazione</w:t>
      </w:r>
      <w:r>
        <w:rPr>
          <w:rFonts w:ascii="Arial" w:cs="Arial" w:eastAsia="Arial" w:hAnsi="Arial"/>
        </w:rPr>
        <w:t xml:space="preserve">: un lavoro breve e guidato che applica gli argomenti ai casi reali dei reparti. Il percorso funziona anche senza.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86F1C" w:sz="24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A86F1C"/>
                <w:sz w:val="17"/>
                <w:szCs w:val="17"/>
              </w:rPr>
              <w:t xml:space="preserve">BRAINSTORMING-ESERCITAZIONE OPZIONALE  ·  </w:t>
            </w:r>
            <w:r>
              <w:rPr>
                <w:rFonts w:ascii="Arial" w:cs="Arial" w:eastAsia="Arial" w:hAnsi="Arial"/>
                <w:b/>
                <w:bCs/>
                <w:color w:val="22262B"/>
                <w:sz w:val="20"/>
                <w:szCs w:val="20"/>
              </w:rPr>
              <w:t xml:space="preserve">Come funzionano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Che cosa sono: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momenti di lavoro guidato dal formatore, a gruppi o in plenaria, con una consegna precisa e un tempo definito.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 che cosa: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su uno o più argomenti dell'incontro, applicati alle attività quotidiane dei reparti Amministrazione, Legal e Customer Care.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Quando: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 uno o in entrambi gli incontri; temi, numero e durata si definiscono insieme al committente o si decidono in aula.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Che cosa possono produrre: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indicazioni pratiche e materiale utile alle policy di reparto, da portare dopo il corso.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 quali materiali: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sempre esempi fittizi o situazioni descritte in forma anonima; in aula non si usano documenti reali dei clienti.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Tempo: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non allungano il percorso; quando si inseriscono, alcuni contenuti espositivi vengono sintetizzati.</w:t>
            </w:r>
          </w:p>
        </w:tc>
      </w:tr>
    </w:tbl>
    <w:p>
      <w:pPr>
        <w:spacing w:after="20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Programma · Incontro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E7D7A"/>
          <w:sz w:val="24"/>
          <w:szCs w:val="24"/>
        </w:rPr>
        <w:t xml:space="preserve">Capire l'AI e i suoi rischi</w:t>
      </w:r>
    </w:p>
    <w:p>
      <w:pPr>
        <w:spacing w:after="160"/>
      </w:pPr>
      <w:r>
        <w:rPr>
          <w:rFonts w:ascii="Arial" w:cs="Arial" w:eastAsia="Arial" w:hAnsi="Arial"/>
          <w:color w:val="4A515C"/>
          <w:sz w:val="18"/>
          <w:szCs w:val="18"/>
        </w:rPr>
        <w:t xml:space="preserve">Durata: 4 ore, pausa compresa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2E7D7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Modulo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2E7D7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Argomenti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Apertura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Obiettivi, percorso, filo conduttore: dalla consapevolezza alla policy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Perché l'AI generativa è diversa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Dal prevedere al generare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Il linguaggio naturale come interfaccia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Sistemi probabilistici e software tradizionale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Dalla dimostrazione all'uso quotidiano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Come funziona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Modelli linguistici: token e generazione delle risposte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Addestramento e utilizzo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Contesto della conversazione e memoria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Il modello e l'applicazione che lo usa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Conoscenza incorporata, ricerca di informazioni, limiti temporali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Perché la stessa domanda dà risposte diverse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Capacità e limiti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Allucinazioni e fonti inesistenti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Autorevolezza apparente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Bias e tendenza ad assecondare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Conseguenze degli errori e attività ad alto impatto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responsabilità resta umana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Verificare e restare responsabili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Fiducia eccessiva e automation bias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Qualità della forma e qualità del contenuto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Verificare fonti, date, nomi, numeri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Plausibile, verificato, validato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verifica proporzionata al rischio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Riservatezza e dati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Quali informazioni, in quale strumento, a quali condizioni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Minimizzare, oscurare, pseudonimizzare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Quando un dato resta identificabile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Classificazione e accessi minimi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 dati tipici del lavoro di Certego, con esempi fittizi commentati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Sicurezza, frodi e diritti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Istruzioni nascoste nei documenti (prompt injection)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Autorizzazioni e credenziali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Frodi con voce e volto falsificati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Proprietà intellettuale dei contenuti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Uso di strumenti non autorizzati (Shadow AI)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FBF3E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A86F1C"/>
                <w:sz w:val="18"/>
                <w:szCs w:val="18"/>
              </w:rPr>
              <w:t xml:space="preserve">Brainstorming-esercitazione (opzionale)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FBF3E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Lavoro guidato, a gruppi o in plenaria, su uno o più argomenti dell'incontro, applicato ai casi dei reparti. Tema e durata da concordare.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Chiusura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Quattro azioni possibili davanti a un dubbio; la checklist essenziale</w:t>
            </w:r>
          </w:p>
        </w:tc>
      </w:tr>
    </w:tbl>
    <w:p>
      <w:pPr>
        <w:spacing w:after="20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Programma · Incontro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E7D7A"/>
          <w:sz w:val="24"/>
          <w:szCs w:val="24"/>
        </w:rPr>
        <w:t xml:space="preserve">Regole, governance e policy di reparto</w:t>
      </w:r>
    </w:p>
    <w:p>
      <w:pPr>
        <w:spacing w:after="160"/>
      </w:pPr>
      <w:r>
        <w:rPr>
          <w:rFonts w:ascii="Arial" w:cs="Arial" w:eastAsia="Arial" w:hAnsi="Arial"/>
          <w:color w:val="4A515C"/>
          <w:sz w:val="18"/>
          <w:szCs w:val="18"/>
        </w:rPr>
        <w:t xml:space="preserve">Durata: 4 ore, pausa compresa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2E7D7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Modulo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2E7D7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Argomenti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Ripresa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 cosa abbiamo visto; tre piani da distinguere: obblighi, responsabilità, regole interne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Perché serve una governance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Conformità e governo; il prezzo dell'assenza di regole; una governance abilitante e proporzionata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Il quadro normativo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Act: obiettivi e categorie di obblighi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Applicazione progressiva, con le modifiche del 2026 (Digital Omnibus)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Act e GDPR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 altre norme applicabili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Il quadro italiano: Legge 132/2025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L'approccio basato sul rischio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Pratiche vietate e sistemi ad alto rischio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finalità decide: l'esempio della selezione del personale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Obblighi di trasparenza verso le persone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 generativa non significa automaticamente alto rischio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Ruoli e responsabilità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Fornitore e utilizzatore (deployer)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 responsabilità di chi usa sistemi di terzi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Documentazione e contratti con i fornitori di AI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NIS2 e uso dell'AI in un fornitore di servizi di sicurezza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Clausole di riservatezza nei contratti con i clienti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Alfabetizzazione e standard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L'articolo 4 dell'AI Act, prima e dopo le modifiche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Misure commisurate a persone e ruoli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Perché un corso non equivale alla conformità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Standard volontari: un accenno alla ISO/IEC 42001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 policy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che cosa serve una policy e che cosa contiene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Quattro categorie d'uso: consentito, con cautele, da autorizzare, vietato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policy scritta o una policy praticata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Il modello di policy di reparto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Controlli e supervisione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Sapere quali strumenti si usano; valutare i rischi nel contesto; prevenire, rilevare, correggere; gestire incidenti e segnalazioni; riesaminare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Tre policy di reparto, illustrate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Esempi compilati per Amministrazione, Legal e Customer Care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Situazioni concrete: che cosa dice la policy?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FBF3E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A86F1C"/>
                <w:sz w:val="18"/>
                <w:szCs w:val="18"/>
              </w:rPr>
              <w:t xml:space="preserve">Brainstorming-esercitazione (opzionale)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FBF3E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Lavoro guidato, a gruppi o in plenaria, su uno o più argomenti dell'incontro, applicato ai casi dei reparti. Tema e durata da concordare.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Governance proporzionata e chiusura</w:t>
            </w:r>
          </w:p>
        </w:tc>
        <w:tc>
          <w:tcPr>
            <w:tcW w:type="dxa" w:w="6738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 presidi essenziali; la checklist di governance; equivoci da evitare; che cosa va alla direzione; questionario di gradimento</w:t>
            </w:r>
          </w:p>
        </w:tc>
      </w:tr>
    </w:tbl>
    <w:p>
      <w:pPr>
        <w:spacing w:after="20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Che cosa resta dopo il corso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19"/>
        <w:gridCol w:w="3219"/>
      </w:tblGrid>
      <w:tr>
        <w:trPr>
          <w:tblHeader/>
        </w:trPr>
        <w:tc>
          <w:tcPr>
            <w:tcW w:type="dxa" w:w="32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2E7D7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2E7D7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Percorso espositivo</w:t>
            </w: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2E7D7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i brainstorming-esercitazioni</w:t>
            </w:r>
          </w:p>
        </w:tc>
      </w:tr>
      <w:tr>
        <w:tc>
          <w:tcPr>
            <w:tcW w:type="dxa" w:w="32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Conoscenze</w:t>
            </w: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Linguaggio comune su funzionamento, limiti, rischi e regole</w:t>
            </w: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Uguali, con applicazione diretta ai casi dei reparti</w:t>
            </w:r>
          </w:p>
        </w:tc>
      </w:tr>
      <w:tr>
        <w:tc>
          <w:tcPr>
            <w:tcW w:type="dxa" w:w="32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Policy di reparto</w:t>
            </w: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Tre esempi compilati e un modello, da adattare dopo il corso</w:t>
            </w: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Esempi e modello arricchiti dal contributo dei partecipanti, in base ai temi scelti</w:t>
            </w:r>
          </w:p>
        </w:tc>
      </w:tr>
      <w:tr>
        <w:tc>
          <w:tcPr>
            <w:tcW w:type="dxa" w:w="3200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shd w:fill="E6F0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 la direzione</w:t>
            </w: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Indicazioni sui prossimi passi</w:t>
            </w:r>
          </w:p>
        </w:tc>
        <w:tc>
          <w:tcPr>
            <w:tcW w:type="dxa" w:w="3219"/>
            <w:tcBorders>
              <w:top w:val="single" w:color="D5D9DE" w:sz="4"/>
              <w:left w:val="single" w:color="D5D9DE" w:sz="4"/>
              <w:bottom w:val="single" w:color="D5D9DE" w:sz="4"/>
              <w:right w:val="single" w:color="D5D9DE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Indicazioni sui prossimi passi e spunti emersi dai reparti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Arial" w:cs="Arial" w:eastAsia="Arial" w:hAnsi="Arial"/>
        </w:rPr>
        <w:t xml:space="preserve">Per trasformare esempi e spunti in bozze di policy pronte per la direzione, si può prevedere dopo il corso un </w:t>
      </w:r>
      <w:r>
        <w:rPr>
          <w:rFonts w:ascii="Arial" w:cs="Arial" w:eastAsia="Arial" w:hAnsi="Arial"/>
          <w:b/>
          <w:bCs/>
        </w:rPr>
        <w:t xml:space="preserve">incontro breve di 1-2 ore con i referenti di reparto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Materiali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Presentazioni dei due incontri, con note per il formatore.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Modello di policy di reparto, in tredici sezioni, con esempi compilati per i tre reparti.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Documenti e situazioni fittizi per gli esempi e per gli eventuali brainstorming-esercitazioni.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Checklist essenziale per l'uso quotidiano e checklist di governance.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Registro delle presenze e questionario di gradimento.</w:t>
      </w:r>
    </w:p>
    <w:p>
      <w:pPr>
        <w:pStyle w:val="Heading1"/>
      </w:pPr>
      <w:r>
        <w:rPr>
          <w:rFonts w:ascii="Arial" w:cs="Arial" w:eastAsia="Arial" w:hAnsi="Arial"/>
        </w:rPr>
        <w:t xml:space="preserve">Avvertenze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I contenuti normativi sono una </w:t>
      </w:r>
      <w:r>
        <w:rPr>
          <w:rFonts w:ascii="Arial" w:cs="Arial" w:eastAsia="Arial" w:hAnsi="Arial"/>
          <w:b/>
          <w:bCs/>
        </w:rPr>
        <w:t xml:space="preserve">sintesi a scopo formativo e non costituiscono un parere legale</w:t>
      </w:r>
      <w:r>
        <w:rPr>
          <w:rFonts w:ascii="Arial" w:cs="Arial" w:eastAsia="Arial" w:hAnsi="Arial"/>
        </w:rPr>
        <w:t xml:space="preserve">. Sono aggiornati a ottobre 2026 e verranno ricontrollati prima delle date del corso.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La </w:t>
      </w:r>
      <w:r>
        <w:rPr>
          <w:rFonts w:ascii="Arial" w:cs="Arial" w:eastAsia="Arial" w:hAnsi="Arial"/>
          <w:b/>
          <w:bCs/>
        </w:rPr>
        <w:t xml:space="preserve">ISO/IEC 42001</w:t>
      </w:r>
      <w:r>
        <w:rPr>
          <w:rFonts w:ascii="Arial" w:cs="Arial" w:eastAsia="Arial" w:hAnsi="Arial"/>
        </w:rPr>
        <w:t xml:space="preserve"> è solo menzionata: il percorso non è una formazione sulla norma. Le policy di reparto possono però essere un punto di partenza utile, se in futuro l'azienda decidesse di adottarla.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Le policy prodotte sono </w:t>
      </w:r>
      <w:r>
        <w:rPr>
          <w:rFonts w:ascii="Arial" w:cs="Arial" w:eastAsia="Arial" w:hAnsi="Arial"/>
          <w:b/>
          <w:bCs/>
        </w:rPr>
        <w:t xml:space="preserve">bozze o esempi</w:t>
      </w:r>
      <w:r>
        <w:rPr>
          <w:rFonts w:ascii="Arial" w:cs="Arial" w:eastAsia="Arial" w:hAnsi="Arial"/>
        </w:rPr>
        <w:t xml:space="preserve">: la politica aziendale sull'uso dell'AI spetta alla direzione.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Il corso contribuisce all'alfabetizzazione richiesta dall'AI Act, ma </w:t>
      </w:r>
      <w:r>
        <w:rPr>
          <w:rFonts w:ascii="Arial" w:cs="Arial" w:eastAsia="Arial" w:hAnsi="Arial"/>
          <w:b/>
          <w:bCs/>
        </w:rPr>
        <w:t xml:space="preserve">non prova da solo la conformità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Arial" w:cs="Arial" w:eastAsia="Arial" w:hAnsi="Arial"/>
        </w:rPr>
        <w:t xml:space="preserve">Tutti gli esempi, i documenti e le situazioni usati in aula sono </w:t>
      </w:r>
      <w:r>
        <w:rPr>
          <w:rFonts w:ascii="Arial" w:cs="Arial" w:eastAsia="Arial" w:hAnsi="Arial"/>
          <w:b/>
          <w:bCs/>
        </w:rPr>
        <w:t xml:space="preserve">fittizi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Da concordare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Arial" w:cs="Arial" w:eastAsia="Arial" w:hAnsi="Arial"/>
        </w:rPr>
        <w:t xml:space="preserve">Se inserire brainstorming-esercitazioni, in quali incontri e su quali temi.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Arial" w:cs="Arial" w:eastAsia="Arial" w:hAnsi="Arial"/>
        </w:rPr>
        <w:t xml:space="preserve">Numero di partecipanti per reparto, sede e date.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Arial" w:cs="Arial" w:eastAsia="Arial" w:hAnsi="Arial"/>
        </w:rPr>
        <w:t xml:space="preserve">Strumenti di AI oggi autorizzati e strumenti usati di fatto.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Arial" w:cs="Arial" w:eastAsia="Arial" w:hAnsi="Arial"/>
        </w:rPr>
        <w:t xml:space="preserve">Esistenza di una policy sull'AI aziendale o di gruppo, anche solo abbozzata.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Arial" w:cs="Arial" w:eastAsia="Arial" w:hAnsi="Arial"/>
        </w:rPr>
        <w:t xml:space="preserve">Chi riceve e approva le bozze di policy dopo il corso.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Arial" w:cs="Arial" w:eastAsia="Arial" w:hAnsi="Arial"/>
        </w:rPr>
        <w:t xml:space="preserve">Inquadramento dell'azienda nella NIS2, per tarare gli esempi.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A515C"/>
        <w:sz w:val="16"/>
        <w:szCs w:val="16"/>
      </w:rPr>
      <w:t xml:space="preserve">Proposta formativa AI Literacy · Certego · Bozza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4A515C"/>
        <w:sz w:val="16"/>
        <w:szCs w:val="16"/>
      </w:rPr>
      <w:t xml:space="preserve">Pagina </w:t>
    </w:r>
    <w:r>
      <w:rPr>
        <w:rFonts w:ascii="Arial" w:cs="Arial" w:eastAsia="Arial" w:hAnsi="Arial"/>
        <w:color w:val="4A51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62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2226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D7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formativa AI Literacy · Certego</dc:title>
  <dc:creator>NetAi Formazione</dc:creator>
  <cp:lastModifiedBy>Un-named</cp:lastModifiedBy>
  <cp:revision>1</cp:revision>
  <dcterms:created xsi:type="dcterms:W3CDTF">2026-10-10T08:50:44.798Z</dcterms:created>
  <dcterms:modified xsi:type="dcterms:W3CDTF">2026-10-10T08:50:44.798Z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