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2794A8" w14:textId="77777777" w:rsidR="00C97C7D" w:rsidRDefault="00390657">
      <w:pPr>
        <w:pStyle w:val="Heading2"/>
      </w:pPr>
      <w:r>
        <w:t xml:space="preserve"> </w:t>
      </w:r>
    </w:p>
    <w:p w14:paraId="687EE9F7" w14:textId="77777777" w:rsidR="00C97C7D" w:rsidRDefault="00390657">
      <w:r>
        <w:rPr>
          <w:noProof/>
        </w:rPr>
        <mc:AlternateContent>
          <mc:Choice Requires="wps">
            <w:drawing>
              <wp:inline distT="0" distB="0" distL="0" distR="0" wp14:anchorId="1E4EB9FD" wp14:editId="4D41E14C">
                <wp:extent cx="5911215" cy="3941445"/>
                <wp:effectExtent l="0" t="0" r="0" b="0"/>
                <wp:docPr id="1" name="image2.jpg" descr="Placeholder 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Placeholder image"/>
                        <pic:cNvPicPr/>
                      </pic:nvPicPr>
                      <pic:blipFill>
                        <a:blip r:embed="rId8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910480" cy="3940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2.jpg" stroked="f" style="position:absolute;margin-left:0pt;margin-top:-310.35pt;width:465.35pt;height:310.25pt;mso-wrap-style:none;v-text-anchor:middle;mso-position-vertical:top" wp14:anchorId="7F5D4D7F" type="shapetype_75">
                <v:imagedata r:id="rId10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67E28929" w14:textId="77777777" w:rsidR="00C97C7D" w:rsidRDefault="00390657">
      <w:pPr>
        <w:pStyle w:val="Title"/>
        <w:jc w:val="center"/>
      </w:pPr>
      <w:bookmarkStart w:id="0" w:name="_2gazcsgmxkub"/>
      <w:bookmarkEnd w:id="0"/>
      <w:r>
        <w:t>Design Report</w:t>
      </w:r>
    </w:p>
    <w:p w14:paraId="78B4E154" w14:textId="7FF3E295" w:rsidR="00C97C7D" w:rsidRDefault="00390657">
      <w:pPr>
        <w:pStyle w:val="Subtitle"/>
        <w:jc w:val="center"/>
        <w:rPr>
          <w:sz w:val="22"/>
          <w:szCs w:val="22"/>
        </w:rPr>
      </w:pPr>
      <w:bookmarkStart w:id="1" w:name="_ng30guuqqp2v"/>
      <w:bookmarkEnd w:id="1"/>
      <w:r>
        <w:rPr>
          <w:sz w:val="22"/>
          <w:szCs w:val="22"/>
        </w:rPr>
        <w:t>25.05.2026</w:t>
      </w:r>
      <w:r w:rsidR="0080294D">
        <w:rPr>
          <w:sz w:val="22"/>
          <w:szCs w:val="22"/>
        </w:rPr>
      </w:r>
    </w:p>
    <w:p w14:paraId="4E3541E2" w14:textId="77777777" w:rsidR="00C97C7D" w:rsidRDefault="00C97C7D">
      <w:pPr>
        <w:jc w:val="center"/>
      </w:pPr>
    </w:p>
    <w:p w14:paraId="6C2D6A5E" w14:textId="77777777" w:rsidR="00C97C7D" w:rsidRDefault="00C97C7D">
      <w:pPr>
        <w:jc w:val="center"/>
      </w:pPr>
    </w:p>
    <w:p w14:paraId="25568E3D" w14:textId="77777777" w:rsidR="00C97C7D" w:rsidRDefault="00C97C7D">
      <w:pPr>
        <w:jc w:val="center"/>
      </w:pPr>
    </w:p>
    <w:p w14:paraId="049B77D5" w14:textId="77777777" w:rsidR="00C97C7D" w:rsidRDefault="00390657">
      <w:pPr>
        <w:jc w:val="center"/>
      </w:pPr>
      <w:r>
        <w:t>Group Members:</w:t>
      </w:r>
    </w:p>
    <w:p w14:paraId="5B50C64C" w14:textId="77777777" w:rsidR="00C97C7D" w:rsidRDefault="00390657">
      <w:pPr>
        <w:spacing w:line="240" w:lineRule="auto"/>
        <w:jc w:val="center"/>
      </w:pPr>
      <w:r>
        <w:t>Nette Beckers</w:t>
      </w:r>
    </w:p>
    <w:p w14:paraId="44D439FC" w14:textId="77777777" w:rsidR="00C97C7D" w:rsidRDefault="00390657">
      <w:pPr>
        <w:spacing w:line="240" w:lineRule="auto"/>
        <w:jc w:val="center"/>
      </w:pPr>
      <w:r>
        <w:t>Louis-Emile Brunswyck</w:t>
      </w:r>
    </w:p>
    <w:p w14:paraId="1CC1535D" w14:textId="77777777" w:rsidR="00C97C7D" w:rsidRDefault="00390657">
      <w:pPr>
        <w:spacing w:line="240" w:lineRule="auto"/>
        <w:jc w:val="center"/>
      </w:pPr>
      <w:r>
        <w:t>Jasper Ceunen</w:t>
      </w:r>
    </w:p>
    <w:p w14:paraId="3FA7CFF5" w14:textId="77777777" w:rsidR="00C97C7D" w:rsidRDefault="00390657">
      <w:pPr>
        <w:spacing w:line="240" w:lineRule="auto"/>
        <w:jc w:val="center"/>
      </w:pPr>
      <w:r>
        <w:t>Giorgio Cignoni</w:t>
      </w:r>
    </w:p>
    <w:p w14:paraId="23E1B42F" w14:textId="77777777" w:rsidR="00C97C7D" w:rsidRDefault="00390657">
      <w:pPr>
        <w:spacing w:line="240" w:lineRule="auto"/>
        <w:jc w:val="center"/>
      </w:pPr>
      <w:r>
        <w:t>Jack Fruits</w:t>
      </w:r>
    </w:p>
    <w:p w14:paraId="24CA422C" w14:textId="77777777" w:rsidR="00C97C7D" w:rsidRDefault="00390657">
      <w:pPr>
        <w:spacing w:line="240" w:lineRule="auto"/>
        <w:jc w:val="center"/>
      </w:pPr>
      <w:r>
        <w:t>Ilyas Habib-Eddine</w:t>
      </w:r>
    </w:p>
    <w:p w14:paraId="7E595651" w14:textId="77777777" w:rsidR="00C97C7D" w:rsidRDefault="00390657">
      <w:pPr>
        <w:pStyle w:val="Heading1"/>
        <w:numPr>
          <w:ilvl w:val="0"/>
          <w:numId w:val="0"/>
        </w:numPr>
        <w:rPr>
          <w:rStyle w:val="SubtleEmphasis"/>
          <w:b w:val="0"/>
          <w:bCs/>
        </w:rPr>
      </w:pPr>
      <w:bookmarkStart w:id="2" w:name="_au51mny0sx6"/>
      <w:bookmarkEnd w:id="2"/>
      <w:r>
        <w:rPr>
          <w:rStyle w:val="SubtleEmphasis"/>
          <w:b w:val="0"/>
          <w:bCs/>
        </w:rPr>
        <w:lastRenderedPageBreak/>
        <w:t>Instructions</w:t>
      </w:r>
    </w:p>
    <w:p w14:paraId="44515471" w14:textId="26628C6B" w:rsidR="00C97C7D" w:rsidRDefault="00390657">
      <w:r>
        <w:t xml:space="preserve">The goal of this design report is to present your final </w:t>
      </w:r>
      <w:r w:rsidR="00632AD7">
        <w:t>data visualisation project</w:t>
      </w:r>
      <w:r>
        <w:t xml:space="preserve">, </w:t>
      </w:r>
      <w:r w:rsidR="00632AD7">
        <w:t xml:space="preserve">the </w:t>
      </w:r>
      <w:r>
        <w:t xml:space="preserve">decisions behind </w:t>
      </w:r>
      <w:r w:rsidR="00632AD7">
        <w:t xml:space="preserve">its </w:t>
      </w:r>
      <w:r>
        <w:t xml:space="preserve">design, the main insights </w:t>
      </w:r>
      <w:r w:rsidR="00632AD7">
        <w:t xml:space="preserve">it </w:t>
      </w:r>
      <w:r>
        <w:t xml:space="preserve">revealed, and your </w:t>
      </w:r>
      <w:r w:rsidR="00632AD7">
        <w:t xml:space="preserve">critical </w:t>
      </w:r>
      <w:r>
        <w:t xml:space="preserve">reflections. </w:t>
      </w:r>
      <w:r w:rsidR="00A27AA8" w:rsidRPr="00A27AA8">
        <w:t>The report length should be no more than 2000 words.</w:t>
      </w:r>
      <w:r>
        <w:t xml:space="preserve"> </w:t>
      </w:r>
    </w:p>
    <w:p w14:paraId="595100A1" w14:textId="56C6627C" w:rsidR="00F42BFF" w:rsidRDefault="00F42BFF" w:rsidP="00F42BFF">
      <w:pPr>
        <w:pStyle w:val="Heading2"/>
      </w:pPr>
      <w:r>
        <w:t>Tip: Always use the appropriate visualization design and interaction terminology in this documentation that was introduced in the theoretical lectures.</w:t>
      </w:r>
    </w:p>
    <w:p w14:paraId="6170AED1" w14:textId="77777777" w:rsidR="00F42BFF" w:rsidRDefault="00F42BFF"/>
    <w:p w14:paraId="7F2145FE" w14:textId="77777777" w:rsidR="00C97C7D" w:rsidRDefault="00C97C7D"/>
    <w:p w14:paraId="3A872466" w14:textId="77777777" w:rsidR="00C97C7D" w:rsidRDefault="00390657">
      <w:r>
        <w:br w:type="page"/>
      </w:r>
    </w:p>
    <w:p w14:paraId="6D8C3219" w14:textId="456019DC" w:rsidR="00C97C7D" w:rsidRDefault="00390657">
      <w:pPr>
        <w:pStyle w:val="Heading1"/>
        <w:ind w:hanging="360"/>
      </w:pPr>
      <w:r>
        <w:lastRenderedPageBreak/>
        <w:t xml:space="preserve">Visualisation </w:t>
      </w:r>
      <w:r w:rsidR="00FA57BB">
        <w:t>Purpose</w:t>
      </w:r>
    </w:p>
    <w:p w14:paraId="366AC924" w14:textId="77777777" w:rsidR="00C97C7D" w:rsidRDefault="00390657">
      <w:r>
        <w:t>[Visualisation screenshot(s)]</w:t>
      </w:r>
    </w:p>
    <w:p w14:paraId="39B33ED3" w14:textId="353AF495" w:rsidR="00C97C7D" w:rsidRDefault="00390657">
      <w:pPr>
        <w:pStyle w:val="Heading2"/>
      </w:pPr>
      <w:bookmarkStart w:id="3" w:name="_92ovyk5wdbvy"/>
      <w:bookmarkEnd w:id="3"/>
      <w:r>
        <w:t>Description</w:t>
      </w:r>
    </w:p>
    <w:p w14:paraId="2C7DE8D7" w14:textId="420F4D5E" w:rsidR="00C97C7D" w:rsidRDefault="00F42BFF">
      <w:pPr>
        <w:pStyle w:val="ListParagraph"/>
      </w:pPr>
      <w:r>
        <w:t>•  We built a longitudinal **policy barometer** for Flemish municipalities, covering 2014-2024.</w:t>
      </w:r>
      <w:r w:rsidR="00390657"/>
      <w:r/>
      <w:r w:rsidR="00390657"/>
      <w:r/>
      <w:r w:rsidR="00390657"/>
    </w:p>
    <w:p w14:paraId="2C7DE8D7" w14:textId="420F4D5E" w:rsidR="00C97C7D" w:rsidRDefault="00F42BFF">
      <w:pPr>
        <w:pStyle w:val="ListParagraph"/>
      </w:pPr>
      <w:r>
        <w:t>•  It surfaces two interpretable composite scores — **Dutch Language Pressure** and **Educational Strain** — across distribution, ranking, evolution, scatter, deviation and per-municipality detail views.</w:t>
      </w:r>
    </w:p>
    <w:p w14:paraId="2C7DE8D7" w14:textId="420F4D5E" w:rsidR="00C97C7D" w:rsidRDefault="00F42BFF">
      <w:pPr>
        <w:pStyle w:val="ListParagraph"/>
      </w:pPr>
      <w:r>
        <w:t>•  It runs locally as a Streamlit dashboard, so a policy-maker can open it without setting up infrastructure.</w:t>
      </w:r>
    </w:p>
    <w:p w14:paraId="2C7DE8D7" w14:textId="420F4D5E" w:rsidR="00C97C7D" w:rsidRDefault="00F42BFF">
      <w:pPr>
        <w:pStyle w:val="ListParagraph"/>
      </w:pPr>
      <w:r>
        <w:t>•  The goal: support **long-term monitoring**, not one-off analysis (Dashboards, slide 25 — "information ... monitored at a glance").</w:t>
      </w:r>
    </w:p>
    <w:p w14:paraId="755A3ED1" w14:textId="77777777" w:rsidR="00C97C7D" w:rsidRDefault="00390657">
      <w:pPr>
        <w:pStyle w:val="Heading2"/>
      </w:pPr>
      <w:r>
        <w:t>User</w:t>
      </w:r>
    </w:p>
    <w:p w14:paraId="2228D967" w14:textId="6017E89C" w:rsidR="00C97C7D" w:rsidRDefault="00390657">
      <w:pPr>
        <w:pStyle w:val="ListParagraph"/>
      </w:pPr>
      <w:r>
        <w:t>•  **Primary** audience: policy-makers at municipal and regional level — local government, education departments, integration and equal-opportunities agencies.</w:t>
      </w:r>
      <w:r w:rsidR="00632AD7"/>
      <w:r/>
    </w:p>
    <w:p w14:paraId="2228D967" w14:textId="6017E89C" w:rsidR="00C97C7D" w:rsidRDefault="00390657">
      <w:pPr>
        <w:pStyle w:val="ListParagraph"/>
      </w:pPr>
      <w:r>
        <w:t>•  **Secondary** audience: researchers and analysts on inequality, migration and language integration.</w:t>
      </w:r>
    </w:p>
    <w:p w14:paraId="2228D967" w14:textId="6017E89C" w:rsidR="00C97C7D" w:rsidRDefault="00390657">
      <w:pPr>
        <w:pStyle w:val="ListParagraph"/>
      </w:pPr>
      <w:r>
        <w:t>•  Most existing public tools (provincies.incijfers.be, Statistiek Vlaanderen) show **single indicators**. They don't combine them into a policy-readable composite, and they don't flag where municipalities deviate from expected patterns.</w:t>
      </w:r>
    </w:p>
    <w:p w14:paraId="2228D967" w14:textId="6017E89C" w:rsidR="00C97C7D" w:rsidRDefault="00390657">
      <w:pPr>
        <w:pStyle w:val="ListParagraph"/>
      </w:pPr>
      <w:r>
        <w:t>•  Our barometer adds three layers existing tools don't have: (i) two composite indices with explicit formulas, (ii) an OLS-residual lens (better / worse than the Flemish regression predicts) and (iii) a rule-based per-municipality narrative with concrete advice.</w:t>
      </w:r>
    </w:p>
    <w:p w14:paraId="14291977" w14:textId="77777777" w:rsidR="00C97C7D" w:rsidRDefault="00390657">
      <w:pPr>
        <w:pStyle w:val="Heading2"/>
      </w:pPr>
      <w:bookmarkStart w:id="4" w:name="_35wmzqz37zvi"/>
      <w:bookmarkEnd w:id="4"/>
      <w:r>
        <w:t>Data</w:t>
      </w:r>
    </w:p>
    <w:p w14:paraId="07C2A3EE" w14:textId="1043A43B" w:rsidR="00C97C7D" w:rsidRDefault="00390657">
      <w:pPr>
        <w:pStyle w:val="ListParagraph"/>
      </w:pPr>
      <w:r>
        <w:t>•  **Source**: the public provincies.incijfers.be export (compactere_relatief_DataVis.xlsx, ~165 KB).</w:t>
      </w:r>
      <w:r w:rsidR="00D42B99"/>
      <w:r/>
      <w:r w:rsidR="00D42B99"/>
      <w:r/>
    </w:p>
    <w:p w14:paraId="07C2A3EE" w14:textId="1043A43B" w:rsidR="00C97C7D" w:rsidRDefault="00390657">
      <w:pPr>
        <w:pStyle w:val="ListParagraph"/>
      </w:pPr>
      <w:r>
        <w:t>•  **Shape**: 304 municipalities × 10 indicators × 12 years (33 136 observations), wide-format with a two-row header.</w:t>
      </w:r>
    </w:p>
    <w:p w14:paraId="07C2A3EE" w14:textId="1043A43B" w:rsidR="00C97C7D" w:rsidRDefault="00390657">
      <w:pPr>
        <w:pStyle w:val="ListParagraph"/>
      </w:pPr>
      <w:r>
        <w:t>•  **Cleaning** (in `data_loader.py`): reshape wide → tidy long [gemeente, provincie, indicator, jaar, waarde]; drop housekeeping rows; coerce "-" to NaN; back-fill indicator labels (they sit at the LAST column of each 12-year block — a quirk we caught during smoke-testing); attach provincie via a 304-municipality lookup curated for the 2025 mergers; exclude years with incomplete score components (2025).</w:t>
      </w:r>
    </w:p>
    <w:p w14:paraId="07C2A3EE" w14:textId="1043A43B" w:rsidR="00C97C7D" w:rsidRDefault="00390657">
      <w:pPr>
        <w:pStyle w:val="ListParagraph"/>
      </w:pPr>
      <w:r>
        <w:t>•  **Composite scores** (in `compute_scores.py`): each component is z-score normalised within that year, sign-flipped for reverse indicators (enrollment, capped at 100 first) and averaged. Scores are comparable across municipalities in the same year, but NOT across years — surfaced as a caveat in every chart.</w:t>
      </w:r>
    </w:p>
    <w:p w14:paraId="51178FB1" w14:textId="4E7F08F9" w:rsidR="00C97C7D" w:rsidRPr="004766B7" w:rsidRDefault="00390657">
      <w:pPr>
        <w:pStyle w:val="Heading2"/>
      </w:pPr>
      <w:bookmarkStart w:id="5" w:name="_6adee7hxu9sy"/>
      <w:bookmarkEnd w:id="5"/>
      <w:r w:rsidRPr="004766B7">
        <w:t>Goals</w:t>
      </w:r>
    </w:p>
    <w:p w14:paraId="0FF055EA" w14:textId="70A1EBC3" w:rsidR="00C97C7D" w:rsidRDefault="00390657">
      <w:pPr>
        <w:pStyle w:val="ListParagraph"/>
      </w:pPr>
      <w:r w:rsidRPr="004766B7">
        <w:t>•  Let a policy-maker scan the Flemish picture **per concern in one screen** — distribution, evolution, ranking (Dashboards, slides 25-26).</w:t>
      </w:r>
    </w:p>
    <w:p w14:paraId="0FF055EA" w14:textId="70A1EBC3" w:rsidR="00C97C7D" w:rsidRDefault="00390657">
      <w:pPr>
        <w:pStyle w:val="ListParagraph"/>
      </w:pPr>
      <w:r>
        <w:t>•  Focus on a few municipalities without losing the comparative context — the focus + context pattern (Dashboards, slide 159; Perception, slide 91).</w:t>
      </w:r>
    </w:p>
    <w:p w14:paraId="0FF055EA" w14:textId="70A1EBC3" w:rsidR="00C97C7D" w:rsidRDefault="00390657">
      <w:pPr>
        <w:pStyle w:val="ListParagraph"/>
      </w:pPr>
      <w:r>
        <w:t>•  Surface structural relationships (scatter + OLS) and local deviations (residuals against the Flemish baseline).</w:t>
      </w:r>
    </w:p>
    <w:p w14:paraId="0FF055EA" w14:textId="70A1EBC3" w:rsidR="00C97C7D" w:rsidRDefault="00390657">
      <w:pPr>
        <w:pStyle w:val="ListParagraph"/>
      </w:pPr>
      <w:r>
        <w:t>•  Provide a per-municipality narrative that names the dominant driver and suggests concrete policy levers (NT2/OKAN for language pressure; dropout prevention for strain).</w:t>
      </w:r>
    </w:p>
    <w:p w14:paraId="0FF055EA" w14:textId="70A1EBC3" w:rsidR="00C97C7D" w:rsidRDefault="00390657">
      <w:pPr>
        <w:pStyle w:val="ListParagraph"/>
      </w:pPr>
      <w:r>
        <w:t>•  Stay future-proof: a new yearly slice of the source file is the only refresh needed; year range, score-completeness and municipality coverage are derived dynamically.</w:t>
      </w:r>
    </w:p>
    <w:p w14:paraId="60152249" w14:textId="77777777" w:rsidR="00975AB3" w:rsidRDefault="004766B7" w:rsidP="00975AB3">
      <w:pPr>
        <w:pStyle w:val="Heading2"/>
      </w:pPr>
      <w:r w:rsidRPr="00975AB3">
        <w:t>Design</w:t>
      </w:r>
      <w:r w:rsidRPr="004766B7">
        <w:t xml:space="preserve"> Rationale: Visual Encodings &amp; Interactions</w:t>
      </w:r>
    </w:p>
    <w:p w14:paraId="29786F92" w14:textId="79D79FA9" w:rsidR="004766B7" w:rsidRPr="00975AB3" w:rsidRDefault="004766B7" w:rsidP="00975AB3">
      <w:pPr>
        <w:pStyle w:val="ListParagraph"/>
      </w:pPr>
      <w:r w:rsidRPr="00975AB3">
        <w:t>•  **Encodings** follow Cleveland-McGill / Mackinlay's accuracy ranking (Perception, slide 45; Representation, slides 173 + 199): *position* for both scores (scatter, KDE, evolution); *length* for rankings (animated bar race with name + score inline); *colour hue* strictly categorical for province; *opacity* drives the focus / context pattern.</w:t>
      </w:r>
    </w:p>
    <w:p w14:paraId="29786F92" w14:textId="79D79FA9" w:rsidR="004766B7" w:rsidRPr="00975AB3" w:rsidRDefault="004766B7" w:rsidP="00975AB3">
      <w:pPr>
        <w:pStyle w:val="ListParagraph"/>
      </w:pPr>
      <w:r>
        <w:t>•  We avoided pie charts, 3-D, gauges and area encodings — all flagged by Few (Dashboards, slides 45-55) and by "Save the pies for dessert" (Representation, slides 153-163).</w:t>
      </w:r>
    </w:p>
    <w:p w14:paraId="29786F92" w14:textId="79D79FA9" w:rsidR="004766B7" w:rsidRPr="00975AB3" w:rsidRDefault="004766B7" w:rsidP="00975AB3">
      <w:pPr>
        <w:pStyle w:val="ListParagraph"/>
      </w:pPr>
      <w:r>
        <w:t>•  **Interactions** cover five of Yi et al.'s seven user-intent categories (Dashboards, slide 176): **Select** (persistent highlight multiselect), **Filter** (Brussels toggle + province pill), **Reconfigure** (OLS baseline picker in Tab 4), **Explore** (scatter animation + bar race; Dashboards slides 173-175 on animation as storytelling), **Abstract / Elaborate** (collapsible per-municipality auto-analysis), **Connect** (persistent highlight as lightweight brushing-and-linking across tabs; Dashboards, slides 167-172).</w:t>
      </w:r>
    </w:p>
    <w:p w14:paraId="0EDE8A1C" w14:textId="77777777" w:rsidR="004766B7" w:rsidRPr="00A27AA8" w:rsidRDefault="004766B7"/>
    <w:p w14:paraId="121CB8F8" w14:textId="77777777" w:rsidR="00C97C7D" w:rsidRDefault="00390657">
      <w:pPr>
        <w:rPr>
          <w:rFonts w:ascii="PT Sans Narrow" w:eastAsia="PT Sans Narrow" w:hAnsi="PT Sans Narrow" w:cs="PT Sans Narrow"/>
          <w:b/>
          <w:sz w:val="36"/>
          <w:szCs w:val="36"/>
        </w:rPr>
      </w:pPr>
      <w:r>
        <w:br w:type="page"/>
      </w:r>
    </w:p>
    <w:p w14:paraId="72F0B617" w14:textId="0E003312" w:rsidR="00C97C7D" w:rsidRDefault="00390657">
      <w:pPr>
        <w:pStyle w:val="Heading1"/>
        <w:ind w:hanging="360"/>
      </w:pPr>
      <w:r>
        <w:lastRenderedPageBreak/>
        <w:t>Design Rationale</w:t>
      </w:r>
    </w:p>
    <w:p w14:paraId="467697CF" w14:textId="055F28E5" w:rsidR="00D42B99" w:rsidRDefault="00D42B99" w:rsidP="00A27AA8">
      <w:r>
        <w:t>[Narrative screenshot(s)]</w:t>
      </w:r>
    </w:p>
    <w:p w14:paraId="178692CF" w14:textId="55E17C9E" w:rsidR="00C97C7D" w:rsidRDefault="00390657">
      <w:pPr>
        <w:pStyle w:val="Heading2Bullet"/>
      </w:pPr>
      <w:r>
        <w:t>Design Rationale: Visual Communication</w:t>
      </w:r>
    </w:p>
    <w:p w14:paraId="08C2FFA1" w14:textId="1F51D7DB" w:rsidR="005A40EC" w:rsidRDefault="005A40EC">
      <w:pPr>
        <w:pStyle w:val="Heading3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Narrative</w:t>
      </w:r>
    </w:p>
    <w:p w14:paraId="21D2A3A2" w14:textId="1E7CBE8E" w:rsidR="005A40EC" w:rsidRDefault="005A40EC" w:rsidP="005A40EC">
      <w:pPr>
        <w:pStyle w:val="Heading3"/>
        <w:numPr>
          <w:ilvl w:val="1"/>
          <w:numId w:val="2"/>
        </w:numPr>
        <w:ind w:left="108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What narrative techniques did you apply</w:t>
      </w:r>
      <w:r w:rsidR="00CB240D">
        <w:rPr>
          <w:rFonts w:asciiTheme="majorBidi" w:hAnsiTheme="majorBidi" w:cstheme="majorBidi"/>
          <w:sz w:val="22"/>
          <w:szCs w:val="22"/>
        </w:rPr>
        <w:t xml:space="preserve">, and why? </w:t>
      </w:r>
      <w:r w:rsidR="00A63384">
        <w:rPr>
          <w:rFonts w:asciiTheme="majorBidi" w:hAnsiTheme="majorBidi" w:cstheme="majorBidi"/>
          <w:sz w:val="22"/>
          <w:szCs w:val="22"/>
        </w:rPr>
        <w:t>(max. 3)</w:t>
      </w:r>
    </w:p>
    <w:p w14:paraId="21D2A3A2" w14:textId="1E7CBE8E" w:rsidR="005A40EC" w:rsidRDefault="005A40EC" w:rsidP="005A40EC">
      <w:pPr>
        <w:pStyle w:val="ListParagraph"/>
      </w:pPr>
      <w:r>
        <w:t>•  **Focus + context** (Dashboards, slide 159; Perception, slides 91 + 133): selected municipalities appear in their colour at full opacity and bigger markers; everything else is muted via low opacity. Applied to every chart.</w:t>
      </w:r>
    </w:p>
    <w:p w14:paraId="21D2A3A2" w14:textId="1E7CBE8E" w:rsidR="005A40EC" w:rsidRDefault="005A40EC" w:rsidP="005A40EC">
      <w:pPr>
        <w:pStyle w:val="ListParagraph"/>
      </w:pPr>
      <w:r>
        <w:t>•  **Layered insight depth** (DH part 1, slides 13-18 — the DIKW pyramid): the dashboard moves from *describe* (raw indicators, distributions) → *interpret* (composite scores, regressions) → *prescribe* (auto-analysis with driver-specific advice and an integrated policy lens). The reader stops at the depth they need.</w:t>
      </w:r>
    </w:p>
    <w:p w14:paraId="21D2A3A2" w14:textId="1E7CBE8E" w:rsidR="005A40EC" w:rsidRDefault="005A40EC" w:rsidP="005A40EC">
      <w:pPr>
        <w:pStyle w:val="ListParagraph"/>
      </w:pPr>
      <w:r>
        <w:t>•  **Drill-down structure** (DH part 2, slide 37 — Segel &amp; Heer narrative genres): tabs progress from population-wide overview (Tabs 1-2) → cross-score association (Tab 3) → critical deviation lens (Tab 4) → per-municipality detail (Tab 5). Tab 0 provides the frame.</w:t>
      </w:r>
    </w:p>
    <w:p w14:paraId="384C6A24" w14:textId="3A7CDF19" w:rsidR="00CB240D" w:rsidRPr="00A27AA8" w:rsidRDefault="00CB240D" w:rsidP="00A27AA8">
      <w:pPr>
        <w:pStyle w:val="Heading3"/>
        <w:ind w:left="360"/>
        <w:rPr>
          <w:rFonts w:asciiTheme="majorBidi" w:hAnsiTheme="majorBidi" w:cstheme="majorBidi"/>
          <w:i/>
          <w:iCs/>
          <w:sz w:val="22"/>
          <w:szCs w:val="22"/>
        </w:rPr>
      </w:pPr>
      <w:r>
        <w:rPr>
          <w:rFonts w:asciiTheme="majorBidi" w:hAnsiTheme="majorBidi" w:cstheme="majorBidi"/>
          <w:i/>
          <w:iCs/>
          <w:sz w:val="22"/>
          <w:szCs w:val="22"/>
        </w:rPr>
        <w:t>Answer preferably via brief annotations on the relevant screenshot(s) of the project.</w:t>
      </w:r>
    </w:p>
    <w:p w14:paraId="20BACBD2" w14:textId="67931B67" w:rsidR="00C97C7D" w:rsidRDefault="00D42B99">
      <w:pPr>
        <w:pStyle w:val="Heading3"/>
        <w:numPr>
          <w:ilvl w:val="0"/>
          <w:numId w:val="4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Communication p</w:t>
      </w:r>
      <w:r w:rsidR="00390657">
        <w:rPr>
          <w:rFonts w:asciiTheme="majorBidi" w:hAnsiTheme="majorBidi" w:cstheme="majorBidi"/>
          <w:sz w:val="22"/>
          <w:szCs w:val="22"/>
        </w:rPr>
        <w:t xml:space="preserve">rinciples: </w:t>
      </w:r>
    </w:p>
    <w:p w14:paraId="17D2965F" w14:textId="6640F3D2" w:rsidR="00C97C7D" w:rsidRDefault="005A40EC">
      <w:pPr>
        <w:pStyle w:val="Heading3"/>
        <w:numPr>
          <w:ilvl w:val="1"/>
          <w:numId w:val="2"/>
        </w:numPr>
        <w:ind w:left="108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What are the</w:t>
      </w:r>
      <w:r w:rsidR="00A63384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>other</w:t>
      </w:r>
      <w:r w:rsidR="00D42B99">
        <w:rPr>
          <w:rFonts w:asciiTheme="majorBidi" w:hAnsiTheme="majorBidi" w:cstheme="majorBidi"/>
          <w:sz w:val="22"/>
          <w:szCs w:val="22"/>
        </w:rPr>
        <w:t xml:space="preserve"> communication </w:t>
      </w:r>
      <w:r w:rsidR="00390657">
        <w:rPr>
          <w:rFonts w:asciiTheme="majorBidi" w:hAnsiTheme="majorBidi" w:cstheme="majorBidi"/>
          <w:sz w:val="22"/>
          <w:szCs w:val="22"/>
        </w:rPr>
        <w:t xml:space="preserve">principles </w:t>
      </w:r>
      <w:r>
        <w:rPr>
          <w:rFonts w:asciiTheme="majorBidi" w:hAnsiTheme="majorBidi" w:cstheme="majorBidi"/>
          <w:sz w:val="22"/>
          <w:szCs w:val="22"/>
        </w:rPr>
        <w:t>that significantly influenced your design, and why</w:t>
      </w:r>
      <w:r w:rsidR="00390657">
        <w:rPr>
          <w:rFonts w:asciiTheme="majorBidi" w:hAnsiTheme="majorBidi" w:cstheme="majorBidi"/>
          <w:sz w:val="22"/>
          <w:szCs w:val="22"/>
        </w:rPr>
        <w:t xml:space="preserve">? </w:t>
      </w:r>
      <w:r>
        <w:rPr>
          <w:rFonts w:asciiTheme="majorBidi" w:hAnsiTheme="majorBidi" w:cstheme="majorBidi"/>
          <w:sz w:val="22"/>
          <w:szCs w:val="22"/>
        </w:rPr>
        <w:t>(max. 3)</w:t>
      </w:r>
    </w:p>
    <w:p w14:paraId="17D2965F" w14:textId="6640F3D2" w:rsidR="00C97C7D" w:rsidRDefault="005A40EC">
      <w:pPr>
        <w:pStyle w:val="ListParagraph"/>
      </w:pPr>
      <w:r>
        <w:t>•  **Cleveland-McGill encoding hierarchy** (Perception, slide 45; Representation, slides 173 + 199) — position and length carry both scores; colour hue is strictly categorical.</w:t>
      </w:r>
    </w:p>
    <w:p w14:paraId="17D2965F" w14:textId="6640F3D2" w:rsidR="00C97C7D" w:rsidRDefault="005A40EC">
      <w:pPr>
        <w:pStyle w:val="ListParagraph"/>
      </w:pPr>
      <w:r>
        <w:t>•  **Few's data-ink ratio** (Dashboards, slides 91-100): light theme, no chartjunk, muted axes. We removed the x-axis on the animated ranking because each bar carries its own score inline — the axis became redundant.</w:t>
      </w:r>
    </w:p>
    <w:p w14:paraId="17D2965F" w14:textId="6640F3D2" w:rsidR="00C97C7D" w:rsidRDefault="005A40EC">
      <w:pPr>
        <w:pStyle w:val="ListParagraph"/>
      </w:pPr>
      <w:r>
        <w:t>•  **Shneiderman mantra** (Representation, slides 200-201) — *overview* (Tabs 0-2), *zoom &amp; filter* (Brussels toggle, province pill, animation), *details-on-demand* (Tab 5 + CSV).</w:t>
      </w:r>
    </w:p>
    <w:p w14:paraId="04DF69B8" w14:textId="1802558F" w:rsidR="00C97C7D" w:rsidRDefault="00390657">
      <w:pPr>
        <w:pStyle w:val="Heading3"/>
        <w:numPr>
          <w:ilvl w:val="1"/>
          <w:numId w:val="2"/>
        </w:numPr>
        <w:ind w:left="108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Wh</w:t>
      </w:r>
      <w:r w:rsidR="005A40EC">
        <w:rPr>
          <w:rFonts w:asciiTheme="majorBidi" w:hAnsiTheme="majorBidi" w:cstheme="majorBidi"/>
          <w:sz w:val="22"/>
          <w:szCs w:val="22"/>
        </w:rPr>
        <w:t>at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="005A40EC">
        <w:rPr>
          <w:rFonts w:asciiTheme="majorBidi" w:hAnsiTheme="majorBidi" w:cstheme="majorBidi"/>
          <w:sz w:val="22"/>
          <w:szCs w:val="22"/>
        </w:rPr>
        <w:t xml:space="preserve">communication </w:t>
      </w:r>
      <w:r>
        <w:rPr>
          <w:rFonts w:asciiTheme="majorBidi" w:hAnsiTheme="majorBidi" w:cstheme="majorBidi"/>
          <w:sz w:val="22"/>
          <w:szCs w:val="22"/>
        </w:rPr>
        <w:t xml:space="preserve">principles </w:t>
      </w:r>
      <w:r w:rsidR="005A40EC">
        <w:rPr>
          <w:rFonts w:asciiTheme="majorBidi" w:hAnsiTheme="majorBidi" w:cstheme="majorBidi"/>
          <w:sz w:val="22"/>
          <w:szCs w:val="22"/>
        </w:rPr>
        <w:t>were</w:t>
      </w:r>
      <w:r>
        <w:rPr>
          <w:rFonts w:asciiTheme="majorBidi" w:hAnsiTheme="majorBidi" w:cstheme="majorBidi"/>
          <w:sz w:val="22"/>
          <w:szCs w:val="22"/>
        </w:rPr>
        <w:t xml:space="preserve"> consciously ignore</w:t>
      </w:r>
      <w:r w:rsidR="005A40EC">
        <w:rPr>
          <w:rFonts w:asciiTheme="majorBidi" w:hAnsiTheme="majorBidi" w:cstheme="majorBidi"/>
          <w:sz w:val="22"/>
          <w:szCs w:val="22"/>
        </w:rPr>
        <w:t>d</w:t>
      </w:r>
      <w:r w:rsidR="00D42B99">
        <w:rPr>
          <w:rFonts w:asciiTheme="majorBidi" w:hAnsiTheme="majorBidi" w:cstheme="majorBidi"/>
          <w:sz w:val="22"/>
          <w:szCs w:val="22"/>
        </w:rPr>
        <w:t>, and why</w:t>
      </w:r>
      <w:r>
        <w:rPr>
          <w:rFonts w:asciiTheme="majorBidi" w:hAnsiTheme="majorBidi" w:cstheme="majorBidi"/>
          <w:sz w:val="22"/>
          <w:szCs w:val="22"/>
        </w:rPr>
        <w:t xml:space="preserve">? </w:t>
      </w:r>
      <w:r w:rsidR="005A40EC">
        <w:rPr>
          <w:rFonts w:asciiTheme="majorBidi" w:hAnsiTheme="majorBidi" w:cstheme="majorBidi"/>
          <w:sz w:val="22"/>
          <w:szCs w:val="22"/>
        </w:rPr>
        <w:t>(max. 3)</w:t>
      </w:r>
    </w:p>
    <w:p w14:paraId="04DF69B8" w14:textId="1802558F" w:rsidR="00C97C7D" w:rsidRDefault="00390657">
      <w:pPr>
        <w:pStyle w:val="ListParagraph"/>
      </w:pPr>
      <w:r>
        <w:t>•  **Few's single-screen rule** (Dashboards, slide 26). We use five tabs because the five policy questions are mutually distinct; combining them would fragment the answers. The persistent highlight pattern mitigates the cross-tab disconnection Few warns about (slides 29-33).</w:t>
      </w:r>
    </w:p>
    <w:p w14:paraId="04DF69B8" w14:textId="1802558F" w:rsidR="00C97C7D" w:rsidRDefault="00390657">
      <w:pPr>
        <w:pStyle w:val="ListParagraph"/>
      </w:pPr>
      <w:r>
        <w:t>•  **"Save the pies for dessert"** extended to radar (Representation, slides 153-163). The Tab 5 radar is kept *despite* Few's caution: precise values come from the auto-analysis and CSV table, while the radar carries shape-level comparison of a few municipalities across six indicators in one glance.</w:t>
      </w:r>
    </w:p>
    <w:p w14:paraId="04DF69B8" w14:textId="1802558F" w:rsidR="00C97C7D" w:rsidRDefault="00390657">
      <w:pPr>
        <w:pStyle w:val="ListParagraph"/>
      </w:pPr>
      <w:r>
        <w:t>•  **Confidence intervals on z-scores** (DH part 2, slides 55-60). We do not draw uncertainty bands — the dashboard frames the OLS line as a descriptive association, and CIs would imply a causal-inference reading we explicitly do not claim. Correlation-not-causation captions appear on every relevant tab instead.</w:t>
      </w:r>
    </w:p>
    <w:p w14:paraId="108B1DC1" w14:textId="4549D02D" w:rsidR="00C97C7D" w:rsidRDefault="00390657">
      <w:pPr>
        <w:pStyle w:val="Heading3"/>
        <w:ind w:left="360"/>
        <w:rPr>
          <w:rFonts w:asciiTheme="majorBidi" w:hAnsiTheme="majorBidi" w:cstheme="majorBidi"/>
          <w:i/>
          <w:iCs/>
          <w:sz w:val="22"/>
          <w:szCs w:val="22"/>
        </w:rPr>
      </w:pPr>
      <w:r>
        <w:rPr>
          <w:rFonts w:asciiTheme="majorBidi" w:hAnsiTheme="majorBidi" w:cstheme="majorBidi"/>
          <w:i/>
          <w:iCs/>
          <w:sz w:val="22"/>
          <w:szCs w:val="22"/>
        </w:rPr>
        <w:t xml:space="preserve">Answer preferably via brief annotations on the relevant screenshot(s) of the </w:t>
      </w:r>
      <w:r w:rsidR="00CB240D">
        <w:rPr>
          <w:rFonts w:asciiTheme="majorBidi" w:hAnsiTheme="majorBidi" w:cstheme="majorBidi"/>
          <w:i/>
          <w:iCs/>
          <w:sz w:val="22"/>
          <w:szCs w:val="22"/>
        </w:rPr>
        <w:t>project</w:t>
      </w:r>
      <w:r>
        <w:rPr>
          <w:rFonts w:asciiTheme="majorBidi" w:hAnsiTheme="majorBidi" w:cstheme="majorBidi"/>
          <w:i/>
          <w:iCs/>
          <w:sz w:val="22"/>
          <w:szCs w:val="22"/>
        </w:rPr>
        <w:t>.</w:t>
      </w:r>
    </w:p>
    <w:p w14:paraId="44012DFC" w14:textId="3BC42245" w:rsidR="00C97C7D" w:rsidRDefault="005A40EC">
      <w:pPr>
        <w:pStyle w:val="Heading3"/>
        <w:numPr>
          <w:ilvl w:val="0"/>
          <w:numId w:val="5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Criticality</w:t>
      </w:r>
    </w:p>
    <w:p w14:paraId="4C5B21C8" w14:textId="1166EE16" w:rsidR="00CB240D" w:rsidRDefault="00CB240D">
      <w:pPr>
        <w:pStyle w:val="Heading3"/>
        <w:numPr>
          <w:ilvl w:val="1"/>
          <w:numId w:val="2"/>
        </w:numPr>
        <w:ind w:left="108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Does the data reflect the reality in a fair way?</w:t>
      </w:r>
      <w:r w:rsidR="00A63384">
        <w:rPr>
          <w:rFonts w:asciiTheme="majorBidi" w:hAnsiTheme="majorBidi" w:cstheme="majorBidi"/>
          <w:sz w:val="22"/>
          <w:szCs w:val="22"/>
        </w:rPr>
        <w:t xml:space="preserve"> How was this reflected in the design?</w:t>
      </w:r>
    </w:p>
    <w:p w14:paraId="4C5B21C8" w14:textId="1166EE16" w:rsidR="00CB240D" w:rsidRDefault="00CB240D">
      <w:pPr>
        <w:pStyle w:val="ListParagraph"/>
      </w:pPr>
      <w:r>
        <w:t>•  Only partly (DH part 2, slide 48 — "data critique").</w:t>
      </w:r>
    </w:p>
    <w:p w14:paraId="4C5B21C8" w14:textId="1166EE16" w:rsidR="00CB240D" w:rsidRDefault="00CB240D">
      <w:pPr>
        <w:pStyle w:val="ListParagraph"/>
      </w:pPr>
      <w:r>
        <w:t>•  The "% pupils not speaking Dutch at home" indicator captures HOME LANGUAGE, not nationality. Dutch nationals in border communes are correctly not counted as language-pressured.</w:t>
      </w:r>
    </w:p>
    <w:p w14:paraId="4C5B21C8" w14:textId="1166EE16" w:rsidR="00CB240D" w:rsidRDefault="00CB240D">
      <w:pPr>
        <w:pStyle w:val="ListParagraph"/>
      </w:pPr>
      <w:r>
        <w:t>•  Newcomers per 1 000 adults is **inflated in university cities** because it counts international students who are not the policy target of NT2 / OKAN.</w:t>
      </w:r>
    </w:p>
    <w:p w14:paraId="4C5B21C8" w14:textId="1166EE16" w:rsidR="00CB240D" w:rsidRDefault="00CB240D">
      <w:pPr>
        <w:pStyle w:val="ListParagraph"/>
      </w:pPr>
      <w:r>
        <w:t>•  Both issues are flagged in the design: the indicator-scope warning sits in the Intro tab, and the student-city issue triggers an automatic yellow callout in Tab 5's auto-analysis for Leuven, Gent, Antwerpen, Hasselt + Diepenbeek, and Elsene.</w:t>
      </w:r>
    </w:p>
    <w:p w14:paraId="7C4DF136" w14:textId="4519777C" w:rsidR="00C97C7D" w:rsidRDefault="00390657">
      <w:pPr>
        <w:pStyle w:val="Heading3"/>
        <w:numPr>
          <w:ilvl w:val="1"/>
          <w:numId w:val="2"/>
        </w:numPr>
        <w:ind w:left="1080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Does the </w:t>
      </w:r>
      <w:r w:rsidR="00CB240D">
        <w:rPr>
          <w:rFonts w:asciiTheme="majorBidi" w:hAnsiTheme="majorBidi" w:cstheme="majorBidi"/>
          <w:sz w:val="22"/>
          <w:szCs w:val="22"/>
        </w:rPr>
        <w:t xml:space="preserve">data </w:t>
      </w:r>
      <w:r>
        <w:rPr>
          <w:rFonts w:asciiTheme="majorBidi" w:hAnsiTheme="majorBidi" w:cstheme="majorBidi"/>
          <w:sz w:val="22"/>
          <w:szCs w:val="22"/>
        </w:rPr>
        <w:t>visualisation present the insights</w:t>
      </w:r>
      <w:r w:rsidR="00CB240D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 xml:space="preserve">in a fair way? </w:t>
      </w:r>
      <w:r w:rsidR="00A63384">
        <w:rPr>
          <w:rFonts w:asciiTheme="majorBidi" w:hAnsiTheme="majorBidi" w:cstheme="majorBidi"/>
          <w:sz w:val="22"/>
          <w:szCs w:val="22"/>
        </w:rPr>
        <w:t>How was this reflected in the design?</w:t>
      </w:r>
    </w:p>
    <w:p w14:paraId="7C4DF136" w14:textId="4519777C" w:rsidR="00C97C7D" w:rsidRDefault="00390657">
      <w:pPr>
        <w:pStyle w:val="ListParagraph"/>
      </w:pPr>
      <w:r>
        <w:t>•  Mitigations applied (DH part 2, slide 53 — "lying with visualization"):</w:t>
      </w:r>
    </w:p>
    <w:p w14:paraId="7C4DF136" w14:textId="4519777C" w:rsidR="00C97C7D" w:rsidRDefault="00390657">
      <w:pPr>
        <w:pStyle w:val="ListParagraph"/>
      </w:pPr>
      <w:r>
        <w:t>•  Chart axes are **fixed** across user selections so swapping municipalities never re-scales the view.</w:t>
      </w:r>
    </w:p>
    <w:p w14:paraId="7C4DF136" w14:textId="4519777C" w:rsidR="00C97C7D" w:rsidRDefault="00390657">
      <w:pPr>
        <w:pStyle w:val="ListParagraph"/>
      </w:pPr>
      <w:r>
        <w:t>•  Residuals use a **symmetric range** around zero so positive and negative deviations get equal visual weight.</w:t>
      </w:r>
    </w:p>
    <w:p w14:paraId="7C4DF136" w14:textId="4519777C" w:rsidR="00C97C7D" w:rsidRDefault="00390657">
      <w:pPr>
        <w:pStyle w:val="ListParagraph"/>
      </w:pPr>
      <w:r>
        <w:t>•  Brussels-Capital toggle carries an explicit warning about how Brussels distorts the OLS slope.</w:t>
      </w:r>
    </w:p>
    <w:p w14:paraId="7C4DF136" w14:textId="4519777C" w:rsidR="00C97C7D" w:rsidRDefault="00390657">
      <w:pPr>
        <w:pStyle w:val="ListParagraph"/>
      </w:pPr>
      <w:r>
        <w:t>•  Score-based tabs exclude years where one component is missing.</w:t>
      </w:r>
    </w:p>
    <w:p w14:paraId="7C4DF136" w14:textId="4519777C" w:rsidR="00C97C7D" w:rsidRDefault="00390657">
      <w:pPr>
        <w:pStyle w:val="ListParagraph"/>
      </w:pPr>
      <w:r>
        <w:t>•  Correlation-not-causation caveats appear under the scatter, the residual chart and the Intro tab — over-communicating the non-causal nature (DH part 2, slides 51-52).</w:t>
      </w:r>
    </w:p>
    <w:p w14:paraId="003AA56B" w14:textId="77777777" w:rsidR="00C97C7D" w:rsidRDefault="00390657">
      <w:pPr>
        <w:pStyle w:val="Heading2Bullet"/>
      </w:pPr>
      <w:r>
        <w:t>Alternative design options</w:t>
      </w:r>
    </w:p>
    <w:p w14:paraId="64E8A7F3" w14:textId="0DEBF277" w:rsidR="00C97C7D" w:rsidRDefault="00390657">
      <w:pPr>
        <w:pStyle w:val="ListParagraph"/>
      </w:pPr>
      <w:r>
        <w:t>•  **First version** of the evolution charts (Tabs 1-2): one thin grey line per municipality — ~300 grey lines as context, coloured lines for the highlight on top.</w:t>
      </w:r>
      <w:r w:rsidR="00CB240D"/>
      <w:r w:rsidR="006656B2"/>
      <w:r/>
      <w:r w:rsidR="006656B2"/>
      <w:r/>
      <w:r w:rsidR="006656B2"/>
      <w:r/>
      <w:r w:rsidR="006656B2"/>
      <w:r/>
    </w:p>
    <w:p w14:paraId="64E8A7F3" w14:textId="0DEBF277" w:rsidR="00C97C7D" w:rsidRDefault="00390657">
      <w:pPr>
        <w:pStyle w:val="ListParagraph"/>
      </w:pPr>
      <w:r>
        <w:t>•  **Final version**: 5 thicker province-average lines + 1 black-dashed Vlaanderen-average reference + highlighted municipalities in their own colour.</w:t>
      </w:r>
    </w:p>
    <w:p w14:paraId="64E8A7F3" w14:textId="0DEBF277" w:rsidR="00C97C7D" w:rsidRDefault="00390657">
      <w:pPr>
        <w:pStyle w:val="ListParagraph"/>
      </w:pPr>
      <w:r>
        <w:t>•  The first version was visually noisy and informationally empty — 300 lines drawn over a grey blob look identical regardless of selection. The "context" added clutter without value.</w:t>
      </w:r>
    </w:p>
    <w:p w14:paraId="64E8A7F3" w14:textId="0DEBF277" w:rsidR="00C97C7D" w:rsidRDefault="00390657">
      <w:pPr>
        <w:pStyle w:val="ListParagraph"/>
      </w:pPr>
      <w:r>
        <w:t>•  The redesign trades 300 redundant lines for 6 informative ones and answers a sharper question: "where does my municipality sit relative to its province average and to Flanders, and how has that gap evolved?"</w:t>
      </w:r>
    </w:p>
    <w:p w14:paraId="64E8A7F3" w14:textId="0DEBF277" w:rsidR="00C97C7D" w:rsidRDefault="00390657">
      <w:pPr>
        <w:pStyle w:val="ListParagraph"/>
      </w:pPr>
      <w:r>
        <w:t>•  The same redesign was later applied to the residual chart in Tab 4 — there we went one step further and removed the grey-spaghetti layer entirely (DH part 1, slide 73 — Tufte's graphical excellence / data-ink ratio).</w:t>
      </w:r>
    </w:p>
    <w:p w14:paraId="64E8A7F3" w14:textId="0DEBF277" w:rsidR="00C97C7D" w:rsidRDefault="00390657">
      <w:pPr>
        <w:pStyle w:val="ListParagraph"/>
      </w:pPr>
      <w:r>
        <w:t>•  Insight + context &gt; insight + clutter.</w:t>
      </w:r>
    </w:p>
    <w:p w14:paraId="4C800A51" w14:textId="77777777" w:rsidR="00C97C7D" w:rsidRDefault="00C97C7D">
      <w:pPr>
        <w:rPr>
          <w:i/>
          <w:iCs/>
        </w:rPr>
      </w:pPr>
    </w:p>
    <w:p w14:paraId="6718A302" w14:textId="77777777" w:rsidR="00C97C7D" w:rsidRDefault="00390657">
      <w:r>
        <w:rPr>
          <w:i/>
          <w:iCs/>
        </w:rPr>
        <w:t xml:space="preserve">Note: Read through this Lisa Charlotte </w:t>
      </w:r>
      <w:proofErr w:type="spellStart"/>
      <w:r>
        <w:rPr>
          <w:i/>
          <w:iCs/>
        </w:rPr>
        <w:t>Rost</w:t>
      </w:r>
      <w:proofErr w:type="spellEnd"/>
      <w:r>
        <w:rPr>
          <w:i/>
          <w:iCs/>
        </w:rPr>
        <w:t xml:space="preserve"> post: </w:t>
      </w:r>
      <w:hyperlink r:id="rId11">
        <w:r>
          <w:rPr>
            <w:rStyle w:val="Hyperlink"/>
            <w:i/>
            <w:iCs/>
          </w:rPr>
          <w:t>https://blog.datawrapper.de/dualaxis/</w:t>
        </w:r>
      </w:hyperlink>
      <w:r>
        <w:rPr>
          <w:i/>
          <w:iCs/>
        </w:rPr>
        <w:t xml:space="preserve"> for an example of comparison between design options. </w:t>
      </w:r>
    </w:p>
    <w:p w14:paraId="37327EE9" w14:textId="77777777" w:rsidR="00C97C7D" w:rsidRDefault="00390657">
      <w:bookmarkStart w:id="6" w:name="_fi80z9ppkwtd"/>
      <w:bookmarkEnd w:id="6"/>
      <w:r>
        <w:br w:type="page"/>
      </w:r>
    </w:p>
    <w:p w14:paraId="273B7BCD" w14:textId="77777777" w:rsidR="00C97C7D" w:rsidRDefault="00390657">
      <w:pPr>
        <w:pStyle w:val="Heading1"/>
        <w:ind w:hanging="360"/>
      </w:pPr>
      <w:r>
        <w:lastRenderedPageBreak/>
        <w:t>Insight</w:t>
      </w:r>
    </w:p>
    <w:p w14:paraId="30092211" w14:textId="1AA830AB" w:rsidR="00C97C7D" w:rsidRDefault="00390657">
      <w:r>
        <w:t xml:space="preserve">In this section, we want to </w:t>
      </w:r>
      <w:r w:rsidR="00A63384">
        <w:t xml:space="preserve">analyse the most original and deep </w:t>
      </w:r>
      <w:r>
        <w:t xml:space="preserve">insight that </w:t>
      </w:r>
      <w:r w:rsidR="00A63384">
        <w:t xml:space="preserve">can be </w:t>
      </w:r>
      <w:r>
        <w:t xml:space="preserve">gathered from the </w:t>
      </w:r>
      <w:r w:rsidR="00A63384">
        <w:t>project</w:t>
      </w:r>
      <w:r>
        <w:t xml:space="preserve">.  </w:t>
      </w:r>
    </w:p>
    <w:p w14:paraId="696CC1A9" w14:textId="77777777" w:rsidR="00C97C7D" w:rsidRDefault="00390657">
      <w:pPr>
        <w:pStyle w:val="Heading2Bullet"/>
      </w:pPr>
      <w:r>
        <w:t>Insight Description</w:t>
      </w:r>
    </w:p>
    <w:p w14:paraId="0C4E6849" w14:textId="4A36F000" w:rsidR="00C97C7D" w:rsidRDefault="00390657">
      <w:pPr>
        <w:numPr>
          <w:ilvl w:val="0"/>
          <w:numId w:val="3"/>
        </w:numPr>
      </w:pPr>
      <w:r>
        <w:t>[Insert screenshots of (a) the Tab 3 scatter with Leuven far below the OLS line, (b) the Tab 4 residual evolution showing Leuven's persistent ~-2σ trajectory, and (c) the Leuven entry in the Tab 5 auto-analysis expander with the yellow student-city callout.]</w:t>
      </w:r>
      <w:r w:rsidR="00C245C6"/>
      <w:r/>
      <w:r w:rsidR="00C245C6"/>
      <w:r/>
      <w:r w:rsidR="00A63384"/>
      <w:r w:rsidR="006656B2"/>
      <w:r/>
      <w:r w:rsidR="00C245C6"/>
      <w:r/>
      <w:r w:rsidR="00C245C6"/>
      <w:r/>
      <w:r w:rsidR="00C245C6"/>
      <w:r/>
      <w:r w:rsidR="00C245C6"/>
      <w:proofErr w:type="gramStart"/>
      <w:r w:rsidR="00C245C6"/>
      <w:proofErr w:type="gramEnd"/>
      <w:r w:rsidR="00C245C6"/>
      <w:r w:rsidR="006656B2"/>
      <w:r w:rsidR="00C245C6"/>
      <w:r/>
      <w:r w:rsidR="006656B2"/>
      <w:r/>
    </w:p>
    <w:p w14:paraId="37035D9C" w14:textId="027BB038" w:rsidR="00C97C7D" w:rsidRDefault="00390657">
      <w:pPr>
        <w:pStyle w:val="ListParagraph"/>
        <w:numPr>
          <w:ilvl w:val="0"/>
          <w:numId w:val="3"/>
        </w:numPr>
      </w:pPr>
      <w:r>
        <w:t>•  **University cities decouple language pressure from educational outcomes.** Most visibly Leuven.</w:t>
      </w:r>
      <w:r w:rsidR="006656B2"/>
    </w:p>
    <w:p w14:paraId="37035D9C" w14:textId="027BB038" w:rsidR="00C97C7D" w:rsidRDefault="00390657">
      <w:pPr>
        <w:pStyle w:val="ListParagraph"/>
      </w:pPr>
      <w:r>
        <w:t>•  Leuven sits in the **top decile** of Dutch Language Pressure (+2.94σ in 2024, rank 7/304) but only near the Flemish mean on Educational Strain (+0.06σ). In Tab 4 it is the **single most negative residual every year from 2017 onward** (≈ -2.1σ in 2024).</w:t>
      </w:r>
    </w:p>
    <w:p w14:paraId="37035D9C" w14:textId="027BB038" w:rsidR="00C97C7D" w:rsidRDefault="00390657">
      <w:pPr>
        <w:pStyle w:val="ListParagraph"/>
      </w:pPr>
      <w:r>
        <w:t>•  The auto-analysis surfaces why: the dominant driver of Leuven's pressure is the **newcomers** indicator (z = +7.7σ), inflated by international students — NOT the cohort NT2 / OKAN targets.</w:t>
      </w:r>
    </w:p>
    <w:p w14:paraId="37035D9C" w14:textId="027BB038" w:rsidR="00C97C7D" w:rsidRDefault="00390657">
      <w:pPr>
        <w:pStyle w:val="ListParagraph"/>
      </w:pPr>
      <w:r>
        <w:t>•  The same pattern, less extreme, holds for Gent, Antwerpen and the Brusselse rand (Kraainem, Wezembeek-Oppem, Sint-Genesius-Rode).</w:t>
      </w:r>
    </w:p>
    <w:p w14:paraId="172B0024" w14:textId="77777777" w:rsidR="00C97C7D" w:rsidRDefault="00390657">
      <w:pPr>
        <w:pStyle w:val="Heading2Bullet"/>
      </w:pPr>
      <w:r>
        <w:t>Design encoding</w:t>
      </w:r>
    </w:p>
    <w:p w14:paraId="20A4C334" w14:textId="7575A58C" w:rsidR="00C245C6" w:rsidRDefault="00C245C6">
      <w:pPr>
        <w:pStyle w:val="ListParagraph"/>
      </w:pPr>
      <w:r>
        <w:t>•  The insight emerges from **three layered views** (DH part 2, slide 37 — Segel &amp; Heer drill-down narrative):</w:t>
      </w:r>
      <w:r w:rsidR="00F42BFF"/>
      <w:r/>
      <w:r w:rsidR="00F42BFF"/>
      <w:r/>
      <w:r w:rsidR="00F42BFF"/>
      <w:proofErr w:type="gramStart"/>
      <w:r w:rsidR="00F42BFF"/>
      <w:r/>
      <w:proofErr w:type="gramEnd"/>
      <w:r/>
      <w:r w:rsidR="00F42BFF"/>
    </w:p>
    <w:p w14:paraId="20A4C334" w14:textId="7575A58C" w:rsidR="00C245C6" w:rsidRDefault="00C245C6">
      <w:pPr>
        <w:pStyle w:val="ListParagraph"/>
      </w:pPr>
      <w:r>
        <w:t>•  — **Scatter (Tab 3)** shows the magnitude: a point far below the OLS line is visually striking; the equation in the corner quantifies the expected-vs-actual gap.</w:t>
      </w:r>
    </w:p>
    <w:p w14:paraId="20A4C334" w14:textId="7575A58C" w:rsidR="00C245C6" w:rsidRDefault="00C245C6">
      <w:pPr>
        <w:pStyle w:val="ListParagraph"/>
      </w:pPr>
      <w:r>
        <w:t>•  — **Residual evolution (Tab 4)** shows the persistence: the symmetric y-axis gives extreme negative residuals the same visual weight as extreme positives.</w:t>
      </w:r>
    </w:p>
    <w:p w14:paraId="20A4C334" w14:textId="7575A58C" w:rsidR="00C245C6" w:rsidRDefault="00C245C6">
      <w:pPr>
        <w:pStyle w:val="ListParagraph"/>
      </w:pPr>
      <w:r>
        <w:t>•  — **Auto-analysis (Tab 5)** names the driver and emits a yellow callout flagging the student-population artefact.</w:t>
      </w:r>
    </w:p>
    <w:p w14:paraId="20A4C334" w14:textId="7575A58C" w:rsidR="00C245C6" w:rsidRDefault="00C245C6">
      <w:pPr>
        <w:pStyle w:val="ListParagraph"/>
      </w:pPr>
      <w:r>
        <w:t>•  No single view carries the insight alone — consistent with Few's advice to use different display media for different reading goals (Dashboards, slide 128).</w:t>
      </w:r>
    </w:p>
    <w:p w14:paraId="138E68A7" w14:textId="5E240EF0" w:rsidR="00C97C7D" w:rsidRDefault="006656B2">
      <w:pPr>
        <w:pStyle w:val="Heading2Bullet"/>
      </w:pPr>
      <w:r>
        <w:t>Value</w:t>
      </w:r>
    </w:p>
    <w:p w14:paraId="59518C08" w14:textId="77777777" w:rsidR="00C97C7D" w:rsidRDefault="00390657">
      <w:pPr>
        <w:pStyle w:val="ListParagraph"/>
      </w:pPr>
      <w:r>
        <w:t>•  It **reframes the question**: a top-decile language-pressure score is NOT automatically a top-decile policy need, because the underlying populations differ.</w:t>
      </w:r>
    </w:p>
    <w:p w14:paraId="59518C08" w14:textId="77777777" w:rsidR="00C97C7D" w:rsidRDefault="00390657">
      <w:pPr>
        <w:pStyle w:val="ListParagraph"/>
      </w:pPr>
      <w:r>
        <w:t>•  A naive ranking by language pressure would over-allocate NT2 / OKAN capacity to university cities — exactly the wrong target.</w:t>
      </w:r>
    </w:p>
    <w:p w14:paraId="59518C08" w14:textId="77777777" w:rsidR="00C97C7D" w:rsidRDefault="00390657">
      <w:pPr>
        <w:pStyle w:val="ListParagraph"/>
      </w:pPr>
      <w:r>
        <w:t>•  The auto-analysis recommendation to **disaggregate the newcomer population** before scaling capacity is directly actionable.</w:t>
      </w:r>
    </w:p>
    <w:p w14:paraId="2876060B" w14:textId="77777777" w:rsidR="00C97C7D" w:rsidRDefault="00390657">
      <w:pPr>
        <w:pStyle w:val="Heading2Bullet"/>
      </w:pPr>
      <w:r>
        <w:t>Validation</w:t>
      </w:r>
    </w:p>
    <w:p w14:paraId="52D2A67E" w14:textId="77777777" w:rsidR="00C97C7D" w:rsidRDefault="00390657">
      <w:pPr>
        <w:pStyle w:val="ListParagraph"/>
      </w:pPr>
      <w:r>
        <w:t>•  Compare absolute counts of *children* of newcomers vs. *adult* newcomers — Kind en Gezin data should confirm whether Leuven's child intake follows its adult intake.</w:t>
      </w:r>
      <w:proofErr w:type="gramStart"/>
      <w:r/>
      <w:proofErr w:type="gramEnd"/>
      <w:r/>
      <w:proofErr w:type="gramStart"/>
      <w:r/>
      <w:proofErr w:type="gramEnd"/>
    </w:p>
    <w:p w14:paraId="52D2A67E" w14:textId="77777777" w:rsidR="00C97C7D" w:rsidRDefault="00390657">
      <w:pPr>
        <w:pStyle w:val="ListParagraph"/>
      </w:pPr>
      <w:r>
        <w:t>•  Cross-reference KU Leuven's enrolment (~60 000 students) against Leuven's adult population (~80 000 18+) to validate the magnitude of the +7.7σ driver.</w:t>
      </w:r>
    </w:p>
    <w:p w14:paraId="52D2A67E" w14:textId="77777777" w:rsidR="00C97C7D" w:rsidRDefault="00390657">
      <w:pPr>
        <w:pStyle w:val="ListParagraph"/>
      </w:pPr>
      <w:r>
        <w:t>•  Cross-check the student-city set against the official list of Flemish universities and hogescholen.</w:t>
      </w:r>
    </w:p>
    <w:p w14:paraId="52D2A67E" w14:textId="77777777" w:rsidR="00C97C7D" w:rsidRDefault="00390657">
      <w:pPr>
        <w:pStyle w:val="ListParagraph"/>
      </w:pPr>
      <w:r>
        <w:t>•  For outcome validation: PISA-like assessments or vroegtijdige-schoolverlaters cohort studies (DH part 2, slide 56 on uncertainty sources).</w:t>
      </w:r>
    </w:p>
    <w:p w14:paraId="764A0916" w14:textId="77777777" w:rsidR="00C97C7D" w:rsidRDefault="00C97C7D">
      <w:pPr>
        <w:pStyle w:val="Heading2Bullet"/>
      </w:pPr>
    </w:p>
    <w:p w14:paraId="114B7E9E" w14:textId="77777777" w:rsidR="00C97C7D" w:rsidRDefault="00C97C7D"/>
    <w:p w14:paraId="18451CFD" w14:textId="77777777" w:rsidR="00C97C7D" w:rsidRDefault="00390657">
      <w:pPr>
        <w:rPr>
          <w:rFonts w:ascii="PT Sans Narrow" w:eastAsia="PT Sans Narrow" w:hAnsi="PT Sans Narrow" w:cs="PT Sans Narrow"/>
          <w:b/>
          <w:sz w:val="36"/>
          <w:szCs w:val="36"/>
        </w:rPr>
      </w:pPr>
      <w:r>
        <w:br w:type="page"/>
      </w:r>
    </w:p>
    <w:p w14:paraId="2E75C21F" w14:textId="77777777" w:rsidR="00C97C7D" w:rsidRDefault="00390657">
      <w:pPr>
        <w:pStyle w:val="Heading1"/>
        <w:ind w:hanging="360"/>
      </w:pPr>
      <w:r>
        <w:lastRenderedPageBreak/>
        <w:t>Reflections</w:t>
      </w:r>
    </w:p>
    <w:p w14:paraId="76A4D92E" w14:textId="77777777" w:rsidR="00C97C7D" w:rsidRDefault="00390657">
      <w:pPr>
        <w:pStyle w:val="Heading2"/>
      </w:pPr>
      <w:r>
        <w:t>Achievements</w:t>
      </w:r>
    </w:p>
    <w:p w14:paraId="2D2CA336" w14:textId="35B41D60" w:rsidR="00C97C7D" w:rsidRDefault="00390657">
      <w:pPr>
        <w:pStyle w:val="ListParagraph"/>
      </w:pPr>
      <w:r>
        <w:t>•  **Rule-based auto-analysis** (Tab 5): a deterministic, no-AI narrative that reads like an analyst note — position + trend, dominant-driver identification, residual classification, three-section policy advice (language / strain / integrated). Student cities trigger an automatic yellow caveat.</w:t>
      </w:r>
      <w:r w:rsidR="00FA57BB"/>
      <w:r/>
      <w:proofErr w:type="gramStart"/>
      <w:r w:rsidR="00FA57BB"/>
      <w:proofErr w:type="gramEnd"/>
      <w:r w:rsidR="00FA57BB"/>
      <w:r/>
      <w:r w:rsidR="00FA57BB"/>
      <w:r/>
    </w:p>
    <w:p w14:paraId="2D2CA336" w14:textId="35B41D60" w:rsidR="00C97C7D" w:rsidRDefault="00390657">
      <w:pPr>
        <w:pStyle w:val="ListParagraph"/>
      </w:pPr>
      <w:r>
        <w:t>•  **Bar race** (Tabs 1-2): municipalities physically swap positions year by year, with stable name labels, score values printed inline, a fixed x-axis that survives Plotly's full-screen mode, and Play / Pause flush with the timeline (Dashboards, slides 173-175 — animation as storytelling).</w:t>
      </w:r>
    </w:p>
    <w:p w14:paraId="2D2CA336" w14:textId="35B41D60" w:rsidR="00C97C7D" w:rsidRDefault="00390657">
      <w:pPr>
        <w:pStyle w:val="ListParagraph"/>
      </w:pPr>
      <w:r>
        <w:t>•  **End-to-end colour-blind switch**: one selectbox in the sidebar instantly re-colours every province line, scatter cluster, radar trace and residual line, while preserving cross-tab colour consistency per municipality. Uses Wong's (2011) colour-blind safe palette (Perception, slide 103).</w:t>
      </w:r>
    </w:p>
    <w:p w14:paraId="247E1EDE" w14:textId="77777777" w:rsidR="00C97C7D" w:rsidRDefault="00390657">
      <w:pPr>
        <w:pStyle w:val="Heading2"/>
      </w:pPr>
      <w:r>
        <w:t>Aspirations (unfulfilled)</w:t>
      </w:r>
    </w:p>
    <w:p w14:paraId="1572F2BB" w14:textId="59D7AE43" w:rsidR="00C97C7D" w:rsidRDefault="00390657">
      <w:pPr>
        <w:pStyle w:val="ListParagraph"/>
      </w:pPr>
      <w:r>
        <w:t>•  **A Vlaanderen choropleth** in Tab 3 or Tab 0 — a 2025-merged GeoJSON matching our gemeente names wasn't readily available; documented as a future extension.</w:t>
      </w:r>
      <w:r w:rsidR="00FA57BB"/>
      <w:r/>
    </w:p>
    <w:p w14:paraId="1572F2BB" w14:textId="59D7AE43" w:rsidR="00C97C7D" w:rsidRDefault="00390657">
      <w:pPr>
        <w:pStyle w:val="ListParagraph"/>
      </w:pPr>
      <w:r>
        <w:t>•  **Confidence bands** on evolution lines — pragmatically defensible (the dashboard does not claim causation), but it would have made measurement uncertainty visible per Vande Moere's guideline #9 (DH part 2, slide 60).</w:t>
      </w:r>
    </w:p>
    <w:p w14:paraId="1572F2BB" w14:textId="59D7AE43" w:rsidR="00C97C7D" w:rsidRDefault="00390657">
      <w:pPr>
        <w:pStyle w:val="ListParagraph"/>
      </w:pPr>
      <w:r>
        <w:t>•  **Local LLM** for the auto-analysis. We prototyped Ollama and transformers-in-process variants and rolled both back: the install burden for the recipient outweighed the marginal benefit over the deterministic rule-based version, which is also more reproducible.</w:t>
      </w:r>
    </w:p>
    <w:p w14:paraId="75D6BFBB" w14:textId="2B6200B6" w:rsidR="00C97C7D" w:rsidRDefault="00FA57BB">
      <w:pPr>
        <w:pStyle w:val="Heading2"/>
      </w:pPr>
      <w:r>
        <w:t>L</w:t>
      </w:r>
      <w:r w:rsidR="00390657">
        <w:t>earn</w:t>
      </w:r>
      <w:r>
        <w:t>ing by making</w:t>
      </w:r>
    </w:p>
    <w:p w14:paraId="442F041D" w14:textId="408480AA" w:rsidR="00FA57BB" w:rsidRDefault="00390657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•  **Theory and real data don't always agree.** The lectures cover principles cleanly; the data does not.</w:t>
      </w:r>
      <w:r w:rsidR="00FA57BB">
        <w:rPr>
          <w:sz w:val="22"/>
          <w:szCs w:val="22"/>
        </w:rPr>
      </w:r>
      <w:r>
        <w:rPr>
          <w:sz w:val="22"/>
          <w:szCs w:val="22"/>
        </w:rPr>
      </w:r>
      <w:proofErr w:type="gramStart"/>
      <w:r w:rsidR="00C245C6">
        <w:rPr>
          <w:sz w:val="22"/>
          <w:szCs w:val="22"/>
        </w:rPr>
      </w:r>
      <w:proofErr w:type="gramEnd"/>
      <w:r w:rsidR="00C245C6">
        <w:rPr>
          <w:sz w:val="22"/>
          <w:szCs w:val="22"/>
        </w:rPr>
      </w:r>
      <w:r>
        <w:rPr>
          <w:sz w:val="22"/>
          <w:szCs w:val="22"/>
        </w:rPr>
      </w:r>
    </w:p>
    <w:p w14:paraId="442F041D" w14:textId="408480AA" w:rsidR="00FA57BB" w:rsidRDefault="00390657">
      <w:pPr>
        <w:pStyle w:val="ListParagraph"/>
      </w:pPr>
      <w:r>
        <w:t>•  The source Excel mixes 0-1 fractions and 0-100 percentages depending on indicator, even though all labels claim "[%]" — we added a display-scale dict.</w:t>
      </w:r>
    </w:p>
    <w:p w14:paraId="442F041D" w14:textId="408480AA" w:rsidR="00FA57BB" w:rsidRDefault="00390657">
      <w:pPr>
        <w:pStyle w:val="ListParagraph"/>
      </w:pPr>
      <w:r>
        <w:t>•  Per-year z-score normalisation is theoretically elegant but produces a confusing "dip" in 2025 because one component is missing — we added a score-completeness filter.</w:t>
      </w:r>
    </w:p>
    <w:p w14:paraId="442F041D" w14:textId="408480AA" w:rsidR="00FA57BB" w:rsidRDefault="00390657">
      <w:pPr>
        <w:pStyle w:val="ListParagraph"/>
      </w:pPr>
      <w:r>
        <w:t>•  The OLS regression looks causal to anyone who hasn't read the caveats. The design must **over-communicate** the non-causal nature rather than rely on the user's statistical literacy (DH part 2, slides 51-52 on spurious correlations).</w:t>
      </w:r>
    </w:p>
    <w:p w14:paraId="2E8028FD" w14:textId="77777777" w:rsidR="00FA57BB" w:rsidRPr="00A27AA8" w:rsidRDefault="00FA57BB" w:rsidP="00975AB3">
      <w:pPr>
        <w:pStyle w:val="Heading2"/>
      </w:pPr>
      <w:r w:rsidRPr="00A27AA8">
        <w:t>Learning by collaborating</w:t>
      </w:r>
    </w:p>
    <w:p w14:paraId="4A8653EE" w14:textId="72F6E5E3" w:rsidR="00C97C7D" w:rsidRDefault="00FA57BB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•  **Divide by INSIGHT, not by file.** With six members, splitting by file (one on data loading, one on scoring, one on UI) created merge conflicts and inconsistent UX.</w:t>
      </w:r>
      <w:r w:rsidR="00C245C6">
        <w:rPr>
          <w:sz w:val="22"/>
          <w:szCs w:val="22"/>
        </w:rPr>
      </w:r>
      <w:proofErr w:type="gramStart"/>
      <w:r w:rsidR="00C245C6">
        <w:rPr>
          <w:sz w:val="22"/>
          <w:szCs w:val="22"/>
        </w:rPr>
      </w:r>
      <w:proofErr w:type="gramEnd"/>
      <w:r w:rsidR="00C245C6">
        <w:rPr>
          <w:sz w:val="22"/>
          <w:szCs w:val="22"/>
        </w:rPr>
      </w:r>
      <w:r>
        <w:rPr>
          <w:sz w:val="22"/>
          <w:szCs w:val="22"/>
        </w:rPr>
      </w:r>
    </w:p>
    <w:p w14:paraId="4A8653EE" w14:textId="72F6E5E3" w:rsidR="00C97C7D" w:rsidRDefault="00FA57BB">
      <w:pPr>
        <w:pStyle w:val="ListParagraph"/>
      </w:pPr>
      <w:r>
        <w:t>•  We re-split per insight — each member owned one tab end-to-end. Coherence improved dramatically: every tab now carries one clearly-formulated question through encoding, narrative, caveat and downloadable export.</w:t>
      </w:r>
    </w:p>
    <w:p w14:paraId="4A8653EE" w14:textId="72F6E5E3" w:rsidR="00C97C7D" w:rsidRDefault="00FA57BB">
      <w:pPr>
        <w:pStyle w:val="ListParagraph"/>
      </w:pPr>
      <w:r>
        <w:t>•  A shared `config.py` and a single git history (frequent, small commits) made cross-tab consistency (palettes, formulas, indicator labels) trivially enforceable.</w:t>
      </w:r>
    </w:p>
    <w:sectPr w:rsidR="00C97C7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440" w:bottom="1080" w:left="1440" w:header="0" w:footer="720" w:gutter="0"/>
      <w:pgNumType w:start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C1D37" w14:textId="77777777" w:rsidR="000C3B9E" w:rsidRDefault="000C3B9E">
      <w:pPr>
        <w:spacing w:before="0" w:line="240" w:lineRule="auto"/>
      </w:pPr>
      <w:r>
        <w:separator/>
      </w:r>
    </w:p>
  </w:endnote>
  <w:endnote w:type="continuationSeparator" w:id="0">
    <w:p w14:paraId="092661E7" w14:textId="77777777" w:rsidR="000C3B9E" w:rsidRDefault="000C3B9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MT Extra"/>
    <w:panose1 w:val="020B0604020202020204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ns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PT Sans Narrow">
    <w:panose1 w:val="020B0506020203020204"/>
    <w:charset w:val="4D"/>
    <w:family w:val="swiss"/>
    <w:pitch w:val="variable"/>
    <w:sig w:usb0="A00002EF" w:usb1="5000204B" w:usb2="00000000" w:usb3="00000000" w:csb0="00000097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rlito">
    <w:altName w:val="Calibri"/>
    <w:panose1 w:val="020B0604020202020204"/>
    <w:charset w:val="01"/>
    <w:family w:val="roman"/>
    <w:pitch w:val="variable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186D6" w14:textId="77777777" w:rsidR="00632AD7" w:rsidRDefault="0063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87227" w14:textId="77777777" w:rsidR="00C97C7D" w:rsidRDefault="00C97C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7B3FE" w14:textId="77777777" w:rsidR="00C97C7D" w:rsidRDefault="00C97C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A13E0" w14:textId="77777777" w:rsidR="000C3B9E" w:rsidRDefault="000C3B9E">
      <w:pPr>
        <w:spacing w:before="0" w:line="240" w:lineRule="auto"/>
      </w:pPr>
      <w:r>
        <w:separator/>
      </w:r>
    </w:p>
  </w:footnote>
  <w:footnote w:type="continuationSeparator" w:id="0">
    <w:p w14:paraId="3A198EFE" w14:textId="77777777" w:rsidR="000C3B9E" w:rsidRDefault="000C3B9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9C99F" w14:textId="77777777" w:rsidR="00632AD7" w:rsidRDefault="0063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75ACB" w14:textId="77777777" w:rsidR="00C97C7D" w:rsidRDefault="00390657">
    <w:pPr>
      <w:pStyle w:val="Subtitle"/>
    </w:pPr>
    <w:bookmarkStart w:id="7" w:name="_9nvcibv3gama"/>
    <w:bookmarkEnd w:id="7"/>
    <w:r>
      <w:t xml:space="preserve">  </w:t>
    </w:r>
    <w:r>
      <w:fldChar w:fldCharType="begin"/>
    </w:r>
    <w:r>
      <w:instrText>PAGE</w:instrText>
    </w:r>
    <w:r>
      <w:fldChar w:fldCharType="separate"/>
    </w:r>
    <w:r>
      <w:t>5</w:t>
    </w:r>
    <w:r>
      <w:fldChar w:fldCharType="end"/>
    </w:r>
  </w:p>
  <w:p w14:paraId="15B31230" w14:textId="77777777" w:rsidR="00C97C7D" w:rsidRDefault="00390657">
    <w:r>
      <w:rPr>
        <w:noProof/>
      </w:rPr>
      <mc:AlternateContent>
        <mc:Choice Requires="wps">
          <w:drawing>
            <wp:inline distT="0" distB="0" distL="0" distR="1905" wp14:anchorId="7387E978" wp14:editId="401490D6">
              <wp:extent cx="5917565" cy="106045"/>
              <wp:effectExtent l="0" t="0" r="1905" b="0"/>
              <wp:docPr id="2" name="image3.png" descr="horizontal lin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3.png" descr="horizontal line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0"/>
                                </a14:imgEffect>
                              </a14:imgLayer>
                            </a14:imgProps>
                          </a:ext>
                        </a:extLst>
                      </a:blip>
                      <a:srcRect b="-32177"/>
                      <a:stretch/>
                    </pic:blipFill>
                    <pic:spPr>
                      <a:xfrm>
                        <a:off x="0" y="0"/>
                        <a:ext cx="5916960" cy="1054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 id="shape_0" ID="image3.png" stroked="f" style="position:absolute;margin-left:0pt;margin-top:-8.35pt;width:465.85pt;height:8.25pt;mso-wrap-style:none;v-text-anchor:middle;mso-position-vertical:top" wp14:anchorId="5B8AE857" type="shapetype_75">
              <v:imagedata r:id="rId3" o:detectmouseclick="t"/>
              <v:stroke color="#3465a4" joinstyle="round" endcap="flat"/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B8CBB" w14:textId="77777777" w:rsidR="00C97C7D" w:rsidRDefault="00C97C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F61"/>
    <w:multiLevelType w:val="multilevel"/>
    <w:tmpl w:val="E55CAF1A"/>
    <w:lvl w:ilvl="0">
      <w:start w:val="1"/>
      <w:numFmt w:val="upperRoman"/>
      <w:pStyle w:val="Heading1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145094"/>
    <w:multiLevelType w:val="multilevel"/>
    <w:tmpl w:val="1DA4805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360"/>
      </w:pPr>
      <w:rPr>
        <w:u w:val="none"/>
      </w:rPr>
    </w:lvl>
  </w:abstractNum>
  <w:abstractNum w:abstractNumId="2" w15:restartNumberingAfterBreak="0">
    <w:nsid w:val="607125EA"/>
    <w:multiLevelType w:val="multilevel"/>
    <w:tmpl w:val="774E8E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2EB1F7A"/>
    <w:multiLevelType w:val="multilevel"/>
    <w:tmpl w:val="A5040C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30A305D"/>
    <w:multiLevelType w:val="multilevel"/>
    <w:tmpl w:val="4A2A7F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num w:numId="1" w16cid:durableId="52002501">
    <w:abstractNumId w:val="0"/>
  </w:num>
  <w:num w:numId="2" w16cid:durableId="1732800445">
    <w:abstractNumId w:val="3"/>
  </w:num>
  <w:num w:numId="3" w16cid:durableId="739794526">
    <w:abstractNumId w:val="1"/>
  </w:num>
  <w:num w:numId="4" w16cid:durableId="1929846882">
    <w:abstractNumId w:val="4"/>
  </w:num>
  <w:num w:numId="5" w16cid:durableId="1946375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C7D"/>
    <w:rsid w:val="000C3B9E"/>
    <w:rsid w:val="000E0C00"/>
    <w:rsid w:val="00355832"/>
    <w:rsid w:val="00390657"/>
    <w:rsid w:val="003C7382"/>
    <w:rsid w:val="004766B7"/>
    <w:rsid w:val="005A40EC"/>
    <w:rsid w:val="00632AD7"/>
    <w:rsid w:val="006656B2"/>
    <w:rsid w:val="0080294D"/>
    <w:rsid w:val="00975AB3"/>
    <w:rsid w:val="009F4A4C"/>
    <w:rsid w:val="00A26CF3"/>
    <w:rsid w:val="00A27AA8"/>
    <w:rsid w:val="00A63384"/>
    <w:rsid w:val="00C245C6"/>
    <w:rsid w:val="00C97C7D"/>
    <w:rsid w:val="00CB240D"/>
    <w:rsid w:val="00D42B99"/>
    <w:rsid w:val="00DD525F"/>
    <w:rsid w:val="00F42BFF"/>
    <w:rsid w:val="00FA57BB"/>
    <w:rsid w:val="00FD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99C17C"/>
  <w15:docId w15:val="{7F5CBBE4-566E-DA45-AA76-658DB7AD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color w:val="695D46"/>
        <w:sz w:val="22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532"/>
    <w:pPr>
      <w:spacing w:before="120" w:line="288" w:lineRule="auto"/>
    </w:pPr>
    <w:rPr>
      <w:rFonts w:ascii="Times New Roman" w:hAnsi="Times New Roman" w:cs="Times New Roman"/>
      <w:color w:val="000000" w:themeColor="text1"/>
      <w:lang w:val="en-GB"/>
    </w:rPr>
  </w:style>
  <w:style w:type="paragraph" w:styleId="Heading1">
    <w:name w:val="heading 1"/>
    <w:basedOn w:val="Normal"/>
    <w:next w:val="Normal"/>
    <w:uiPriority w:val="9"/>
    <w:qFormat/>
    <w:rsid w:val="00E94F8F"/>
    <w:pPr>
      <w:keepNext/>
      <w:keepLines/>
      <w:widowControl w:val="0"/>
      <w:numPr>
        <w:numId w:val="1"/>
      </w:numPr>
      <w:spacing w:before="480" w:line="312" w:lineRule="auto"/>
      <w:ind w:left="567" w:firstLine="0"/>
      <w:outlineLvl w:val="0"/>
    </w:pPr>
    <w:rPr>
      <w:rFonts w:ascii="PT Sans Narrow" w:eastAsia="PT Sans Narrow" w:hAnsi="PT Sans Narrow" w:cs="PT Sans Narrow"/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BC0E9E"/>
    <w:pPr>
      <w:spacing w:before="320" w:line="240" w:lineRule="auto"/>
      <w:outlineLvl w:val="1"/>
    </w:pPr>
    <w:rPr>
      <w:rFonts w:asciiTheme="majorBidi" w:eastAsia="PT Sans Narrow" w:hAnsiTheme="majorBidi" w:cstheme="majorBidi"/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F4FD3"/>
  </w:style>
  <w:style w:type="character" w:customStyle="1" w:styleId="FooterChar">
    <w:name w:val="Footer Char"/>
    <w:basedOn w:val="DefaultParagraphFont"/>
    <w:link w:val="Footer"/>
    <w:uiPriority w:val="99"/>
    <w:qFormat/>
    <w:rsid w:val="00AF4FD3"/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64E2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64E2E"/>
    <w:rPr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81EF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C32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C32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3228"/>
    <w:rPr>
      <w:color w:val="800080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BC6C81"/>
    <w:rPr>
      <w:rFonts w:asciiTheme="majorBidi" w:hAnsiTheme="majorBidi" w:cstheme="majorBidi"/>
      <w:b w:val="0"/>
      <w:i/>
      <w:iCs/>
      <w:sz w:val="22"/>
      <w:szCs w:val="22"/>
    </w:rPr>
  </w:style>
  <w:style w:type="character" w:customStyle="1" w:styleId="LineNumbering">
    <w:name w:val="Line Numbering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DejaVu Sans" w:hAnsi="Carlito" w:cs="DejaVu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1"/>
    <w:next w:val="Normal"/>
    <w:uiPriority w:val="10"/>
    <w:qFormat/>
    <w:rsid w:val="00BC6C81"/>
    <w:pPr>
      <w:numPr>
        <w:numId w:val="0"/>
      </w:numPr>
      <w:ind w:left="567"/>
    </w:pPr>
    <w:rPr>
      <w:rFonts w:asciiTheme="majorBidi" w:hAnsiTheme="majorBidi" w:cstheme="majorBidi"/>
      <w:b w:val="0"/>
      <w:bCs/>
    </w:rPr>
  </w:style>
  <w:style w:type="paragraph" w:styleId="Subtitle">
    <w:name w:val="Subtitle"/>
    <w:basedOn w:val="Normal"/>
    <w:next w:val="Normal"/>
    <w:uiPriority w:val="11"/>
    <w:qFormat/>
    <w:rsid w:val="00F5669F"/>
    <w:pPr>
      <w:spacing w:before="200" w:line="240" w:lineRule="auto"/>
    </w:pPr>
    <w:rPr>
      <w:rFonts w:asciiTheme="majorBidi" w:eastAsia="PT Sans Narrow" w:hAnsiTheme="majorBidi" w:cstheme="majorBidi"/>
      <w:sz w:val="28"/>
      <w:szCs w:val="2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AF4FD3"/>
    <w:pPr>
      <w:tabs>
        <w:tab w:val="center" w:pos="4680"/>
        <w:tab w:val="right" w:pos="9360"/>
      </w:tabs>
      <w:spacing w:before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F4FD3"/>
    <w:pPr>
      <w:tabs>
        <w:tab w:val="center" w:pos="4680"/>
        <w:tab w:val="right" w:pos="9360"/>
      </w:tabs>
      <w:spacing w:before="0" w:line="240" w:lineRule="auto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764E2E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81EF6"/>
    <w:rPr>
      <w:b/>
      <w:bCs/>
    </w:rPr>
  </w:style>
  <w:style w:type="paragraph" w:styleId="Revision">
    <w:name w:val="Revision"/>
    <w:uiPriority w:val="99"/>
    <w:semiHidden/>
    <w:qFormat/>
    <w:rsid w:val="00164532"/>
  </w:style>
  <w:style w:type="paragraph" w:styleId="ListParagraph">
    <w:name w:val="List Paragraph"/>
    <w:basedOn w:val="Normal"/>
    <w:uiPriority w:val="34"/>
    <w:qFormat/>
    <w:rsid w:val="00164532"/>
    <w:pPr>
      <w:ind w:left="720"/>
      <w:contextualSpacing/>
    </w:pPr>
  </w:style>
  <w:style w:type="paragraph" w:styleId="NoSpacing">
    <w:name w:val="No Spacing"/>
    <w:uiPriority w:val="1"/>
    <w:qFormat/>
    <w:rsid w:val="00E94F8F"/>
    <w:rPr>
      <w:rFonts w:ascii="Times New Roman" w:hAnsi="Times New Roman" w:cs="Times New Roman"/>
      <w:color w:val="000000" w:themeColor="text1"/>
      <w:lang w:val="en-GB"/>
    </w:rPr>
  </w:style>
  <w:style w:type="paragraph" w:customStyle="1" w:styleId="Heading2Bullet">
    <w:name w:val="Heading 2 Bullet"/>
    <w:basedOn w:val="Heading2"/>
    <w:qFormat/>
    <w:rsid w:val="0089184A"/>
  </w:style>
  <w:style w:type="paragraph" w:styleId="TOCHeading">
    <w:name w:val="TOC Heading"/>
    <w:basedOn w:val="Heading1"/>
    <w:next w:val="Normal"/>
    <w:uiPriority w:val="39"/>
    <w:unhideWhenUsed/>
    <w:qFormat/>
    <w:rsid w:val="0089040B"/>
    <w:pPr>
      <w:widowControl/>
      <w:numPr>
        <w:numId w:val="0"/>
      </w:numPr>
      <w:spacing w:line="276" w:lineRule="auto"/>
      <w:ind w:left="567"/>
    </w:pPr>
    <w:rPr>
      <w:rFonts w:asciiTheme="majorBidi" w:eastAsiaTheme="majorEastAsia" w:hAnsiTheme="majorBidi" w:cstheme="majorBidi"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F6975"/>
    <w:pPr>
      <w:tabs>
        <w:tab w:val="right" w:pos="9350"/>
      </w:tabs>
      <w:ind w:left="220"/>
    </w:pPr>
    <w:rPr>
      <w:rFonts w:asciiTheme="majorBidi" w:hAnsiTheme="majorBidi"/>
      <w:i/>
      <w:iCs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F6975"/>
    <w:pPr>
      <w:tabs>
        <w:tab w:val="right" w:pos="9350"/>
      </w:tabs>
      <w:spacing w:before="240" w:after="120"/>
    </w:pPr>
    <w:rPr>
      <w:rFonts w:asciiTheme="majorBidi" w:hAnsiTheme="majorBidi"/>
      <w:b/>
      <w:bC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F6975"/>
    <w:pPr>
      <w:spacing w:before="0"/>
      <w:ind w:left="440"/>
    </w:pPr>
    <w:rPr>
      <w:rFonts w:asciiTheme="majorBidi" w:hAnsiTheme="majorBid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752F1"/>
    <w:pPr>
      <w:spacing w:before="0"/>
      <w:ind w:left="660"/>
    </w:pPr>
    <w:rPr>
      <w:rFonts w:asciiTheme="minorHAnsi" w:hAnsi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752F1"/>
    <w:pPr>
      <w:spacing w:before="0"/>
      <w:ind w:left="880"/>
    </w:pPr>
    <w:rPr>
      <w:rFonts w:asciiTheme="minorHAnsi" w:hAnsi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752F1"/>
    <w:pPr>
      <w:spacing w:before="0"/>
      <w:ind w:left="1100"/>
    </w:pPr>
    <w:rPr>
      <w:rFonts w:asciiTheme="minorHAnsi" w:hAnsi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752F1"/>
    <w:pPr>
      <w:spacing w:before="0"/>
      <w:ind w:left="1320"/>
    </w:pPr>
    <w:rPr>
      <w:rFonts w:asciiTheme="minorHAnsi" w:hAnsi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752F1"/>
    <w:pPr>
      <w:spacing w:before="0"/>
      <w:ind w:left="1540"/>
    </w:pPr>
    <w:rPr>
      <w:rFonts w:asciiTheme="minorHAnsi" w:hAnsi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752F1"/>
    <w:pPr>
      <w:spacing w:before="0"/>
      <w:ind w:left="1760"/>
    </w:pPr>
    <w:rPr>
      <w:rFonts w:asciiTheme="minorHAnsi" w:hAnsiTheme="minorHAnsi"/>
      <w:sz w:val="20"/>
      <w:szCs w:val="24"/>
    </w:rPr>
  </w:style>
  <w:style w:type="numbering" w:customStyle="1" w:styleId="CurrentList2">
    <w:name w:val="Current List2"/>
    <w:uiPriority w:val="99"/>
    <w:qFormat/>
    <w:rsid w:val="007029AB"/>
  </w:style>
  <w:style w:type="numbering" w:customStyle="1" w:styleId="CurrentList1">
    <w:name w:val="Current List1"/>
    <w:uiPriority w:val="99"/>
    <w:qFormat/>
    <w:rsid w:val="00702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2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6411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.datawrapper.de/dualaxis/f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A3A560B6D1D14883F89ACC2A092A94" ma:contentTypeVersion="15" ma:contentTypeDescription="Een nieuw document maken." ma:contentTypeScope="" ma:versionID="d93704797e9244bc3e400aaac863f52f">
  <xsd:schema xmlns:xsd="http://www.w3.org/2001/XMLSchema" xmlns:xs="http://www.w3.org/2001/XMLSchema" xmlns:p="http://schemas.microsoft.com/office/2006/metadata/properties" xmlns:ns2="74607661-4bcf-4be9-972d-40a232e473db" xmlns:ns3="17818fcf-0fe1-4346-8d46-499070fefe6c" targetNamespace="http://schemas.microsoft.com/office/2006/metadata/properties" ma:root="true" ma:fieldsID="0c3a035d72c4468b219aff85dd3b4b7d" ns2:_="" ns3:_="">
    <xsd:import namespace="74607661-4bcf-4be9-972d-40a232e473db"/>
    <xsd:import namespace="17818fcf-0fe1-4346-8d46-499070fefe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07661-4bcf-4be9-972d-40a232e473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8b6fc0cd-01fe-45a4-a6f7-42bcc5426b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18fcf-0fe1-4346-8d46-499070fefe6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162f052-72b4-4adc-9462-b3414fed7874}" ma:internalName="TaxCatchAll" ma:showField="CatchAllData" ma:web="17818fcf-0fe1-4346-8d46-499070fefe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775250-1BBD-4FA3-A910-A1709985A5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F36645-6779-4BEA-9E64-6D26429EE144}"/>
</file>

<file path=customXml/itemProps3.xml><?xml version="1.0" encoding="utf-8"?>
<ds:datastoreItem xmlns:ds="http://schemas.openxmlformats.org/officeDocument/2006/customXml" ds:itemID="{E7120E6E-53E5-419D-8FD5-58BD78A9B0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dc:description/>
  <cp:lastModifiedBy>Katrien Verbert</cp:lastModifiedBy>
  <cp:revision>2</cp:revision>
  <dcterms:created xsi:type="dcterms:W3CDTF">2023-05-16T12:43:00Z</dcterms:created>
  <dcterms:modified xsi:type="dcterms:W3CDTF">2023-05-16T12:43:00Z</dcterms:modified>
  <dc:language>en-US</dc:language>
</cp:coreProperties>
</file>