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Calibri" w:hAnsi="Calibri" w:eastAsia="Calibri"/>
          <w:b/>
          <w:i w:val="0"/>
          <w:color w:val="0F766E"/>
          <w:sz w:val="24"/>
        </w:rPr>
        <w:t>OUTCOMES REPORT</w:t>
      </w:r>
    </w:p>
    <w:p>
      <w:pPr>
        <w:spacing w:after="120" w:before="0" w:line="240" w:lineRule="auto"/>
        <w:jc w:val="center"/>
      </w:pPr>
      <w:r>
        <w:rPr>
          <w:rFonts w:ascii="Calibri" w:hAnsi="Calibri" w:eastAsia="Calibri"/>
          <w:b/>
          <w:i w:val="0"/>
          <w:color w:val="1E3A5F"/>
          <w:sz w:val="40"/>
        </w:rPr>
        <w:t>Aadhaar Intel Engine (UIDAI Operational Aggregates)</w:t>
      </w:r>
    </w:p>
    <w:p>
      <w:pPr>
        <w:spacing w:after="280" w:before="0" w:line="240" w:lineRule="auto"/>
        <w:jc w:val="center"/>
      </w:pPr>
      <w:r>
        <w:rPr>
          <w:rFonts w:ascii="Calibri" w:hAnsi="Calibri" w:eastAsia="Calibri"/>
          <w:b w:val="0"/>
          <w:i/>
          <w:color w:val="334155"/>
          <w:sz w:val="22"/>
        </w:rPr>
        <w:t>Data Processing · Anomaly Detection · Forecasting &amp; Resource Planning · LLM Insights · Operator Web Application</w:t>
      </w:r>
    </w:p>
    <w:tbl>
      <w:tblPr>
        <w:tblStyle w:val="TableGrid"/>
        <w:tblW w:type="auto" w:w="0"/>
        <w:jc w:val="center"/>
        <w:tblLayout w:type="autofit"/>
        <w:tblLook w:firstColumn="1" w:firstRow="1" w:lastColumn="0" w:lastRow="0" w:noHBand="0" w:noVBand="1" w:val="04A0"/>
      </w:tblPr>
      <w:tblGrid>
        <w:gridCol w:w="4706"/>
        <w:gridCol w:w="4706"/>
      </w:tblGrid>
      <w:tr>
        <w:tc>
          <w:tcPr>
            <w:tcW w:type="dxa" w:w="311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Field</w:t>
            </w:r>
          </w:p>
        </w:tc>
        <w:tc>
          <w:tcPr>
            <w:tcW w:type="dxa" w:w="652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Document type</w:t>
            </w:r>
          </w:p>
        </w:tc>
        <w:tc>
          <w:tcPr>
            <w:tcW w:type="dxa" w:w="65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Journal-oriented research outcomes (code- and live-system aligned)</w:t>
            </w:r>
          </w:p>
        </w:tc>
      </w:tr>
      <w:tr>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Evidence source</w:t>
            </w:r>
          </w:p>
        </w:tc>
        <w:tc>
          <w:tcPr>
            <w:tcW w:type="dxa" w:w="65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Live web API http://127.0.0.1:8787 (cache-backed marts)</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Capture timestamp (UTC)</w:t>
            </w:r>
          </w:p>
        </w:tc>
        <w:tc>
          <w:tcPr>
            <w:tcW w:type="dxa" w:w="65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2026-08-09 18:00 UTC</w:t>
            </w:r>
          </w:p>
        </w:tc>
      </w:tr>
      <w:tr>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Git commit (workspace)</w:t>
            </w:r>
          </w:p>
        </w:tc>
        <w:tc>
          <w:tcPr>
            <w:tcW w:type="dxa" w:w="65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a53efa3</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Data window</w:t>
            </w:r>
          </w:p>
        </w:tc>
        <w:tc>
          <w:tcPr>
            <w:tcW w:type="dxa" w:w="65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2025-03-02 → 2025-12-31</w:t>
            </w:r>
          </w:p>
        </w:tc>
      </w:tr>
      <w:tr>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Load source</w:t>
            </w:r>
          </w:p>
        </w:tc>
        <w:tc>
          <w:tcPr>
            <w:tcW w:type="dxa" w:w="65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cache · marts schema v4 · geo rule pack 1.1.0</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LLM</w:t>
            </w:r>
          </w:p>
        </w:tc>
        <w:tc>
          <w:tcPr>
            <w:tcW w:type="dxa" w:w="65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available · model=qwen2.5:latest</w:t>
            </w:r>
          </w:p>
        </w:tc>
      </w:tr>
      <w:tr>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Scope disclaimer</w:t>
            </w:r>
          </w:p>
        </w:tc>
        <w:tc>
          <w:tcPr>
            <w:tcW w:type="dxa" w:w="65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Aggregate enrolment/update volumes only — no Aadhaar numbers or biometrics</w:t>
            </w:r>
          </w:p>
        </w:tc>
      </w:tr>
    </w:tbl>
    <w:p>
      <w:pPr>
        <w:spacing w:after="120"/>
      </w:pPr>
    </w:p>
    <w:p>
      <w:pPr>
        <w:spacing w:after="160" w:before="0" w:line="240" w:lineRule="auto"/>
      </w:pPr>
      <w:r>
        <w:rPr>
          <w:rFonts w:ascii="Calibri" w:hAnsi="Calibri" w:eastAsia="Calibri"/>
          <w:b w:val="0"/>
          <w:i w:val="0"/>
          <w:color w:val="334155"/>
          <w:sz w:val="22"/>
        </w:rPr>
        <w:t>This document records measured outcomes of the Aadhaar Intel Engine as observed on the live operator web stack. Every quantitative claim is tied to an API/mart artefact (Evidence notes). Figure slots are reserved for plots and screenshots so the manuscript can be illustrated without embedding repository media prematurely.</w:t>
      </w:r>
    </w:p>
    <w:tbl>
      <w:tblPr>
        <w:tblW w:type="auto" w:w="0"/>
        <w:tblLook w:firstColumn="1" w:firstRow="1" w:lastColumn="0" w:lastRow="0" w:noHBand="0" w:noVBand="1" w:val="04A0"/>
      </w:tblPr>
      <w:tblGrid>
        <w:gridCol w:w="9412"/>
      </w:tblGrid>
      <w:tr>
        <w:tc>
          <w:tcPr>
            <w:tcW w:type="dxa" w:w="9412"/>
            <w:shd w:fill="FFFBEB" w:val="clear"/>
            <w:tcBorders>
              <w:top w:val="single" w:sz="12" w:space="0" w:color="D97706"/>
              <w:left w:val="single" w:sz="12" w:space="0" w:color="D97706"/>
              <w:bottom w:val="single" w:sz="12" w:space="0" w:color="D97706"/>
              <w:right w:val="single" w:sz="12" w:space="0" w:color="D97706"/>
            </w:tcBorders>
          </w:tcPr>
          <w:p>
            <w:r/>
            <w:r>
              <w:rPr>
                <w:rFonts w:ascii="Calibri" w:hAnsi="Calibri" w:eastAsia="Calibri"/>
                <w:b/>
                <w:i w:val="0"/>
                <w:color w:val="D97706"/>
                <w:sz w:val="20"/>
              </w:rPr>
              <w:t xml:space="preserve">Interpretive guardrails. </w:t>
            </w:r>
            <w:r>
              <w:rPr>
                <w:rFonts w:ascii="Calibri" w:hAnsi="Calibri" w:eastAsia="Calibri"/>
                <w:b w:val="0"/>
                <w:i w:val="0"/>
                <w:color w:val="334155"/>
                <w:sz w:val="20"/>
              </w:rPr>
              <w:t>Isolation Forest risk scores are unsupervised multi-feature outliers (“look here”), not fraud labels. Forecasts and decision bands define planning envelopes, not guarantees. LLM prose is hybrid: metrics are engine-authored; narrative is optional Ollama assistance.</w:t>
            </w:r>
          </w:p>
        </w:tc>
      </w:tr>
    </w:tbl>
    <w:p>
      <w:pPr>
        <w:spacing w:after="160"/>
      </w:pPr>
    </w:p>
    <w:p>
      <w:pPr>
        <w:pStyle w:val="Heading1"/>
        <w:spacing w:before="360" w:after="160"/>
      </w:pPr>
      <w:r>
        <w:rPr>
          <w:rFonts w:ascii="Calibri" w:hAnsi="Calibri" w:eastAsia="Calibri"/>
          <w:b/>
          <w:i w:val="0"/>
          <w:color w:val="1E3A5F"/>
          <w:sz w:val="32"/>
        </w:rPr>
        <w:t>1. Executive Summary of Outcomes</w:t>
      </w:r>
    </w:p>
    <w:p>
      <w:pPr>
        <w:spacing w:after="160" w:before="0" w:line="240" w:lineRule="auto"/>
      </w:pPr>
      <w:r>
        <w:rPr>
          <w:rFonts w:ascii="Calibri" w:hAnsi="Calibri" w:eastAsia="Calibri"/>
          <w:b w:val="0"/>
          <w:i w:val="0"/>
          <w:color w:val="334155"/>
          <w:sz w:val="22"/>
        </w:rPr>
        <w:t>The system delivers an end-to-end operational analytics stack for UIDAI-style public aggregates: CSV ingest with geography repair, parquet analytical marts, multi-feature anomaly triage, baseline-gated multi-model forecasting with conformal intervals and resource planning, evidence-locked hybrid AI briefs, human governance patches, and a professional React + FastAPI web UI sharing one analytics engine with the Streamlit research prototype.</w:t>
      </w:r>
    </w:p>
    <w:p>
      <w:pPr>
        <w:pStyle w:val="Heading2"/>
        <w:spacing w:before="280" w:after="120"/>
      </w:pPr>
      <w:r>
        <w:rPr>
          <w:rFonts w:ascii="Calibri" w:hAnsi="Calibri" w:eastAsia="Calibri"/>
          <w:b/>
          <w:i w:val="0"/>
          <w:color w:val="0F766E"/>
          <w:sz w:val="26"/>
        </w:rPr>
        <w:t>1.1 Headline measured results (live capture)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551"/>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Outcome area</w:t>
            </w:r>
          </w:p>
        </w:tc>
        <w:tc>
          <w:tcPr>
            <w:tcW w:type="dxa" w:w="39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Headline metric</w:t>
            </w:r>
          </w:p>
        </w:tc>
        <w:tc>
          <w:tcPr>
            <w:tcW w:type="dxa" w:w="311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Operational volume</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Total enrolments (filtered national)</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5,435,484</w:t>
            </w:r>
          </w:p>
        </w:tc>
      </w:tr>
      <w:tr>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Operational volume</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Biometric updates</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69,763,095</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Operational volume</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Demographic updates</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49,295,185</w:t>
            </w:r>
          </w:p>
        </w:tc>
      </w:tr>
      <w:tr>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Coverage</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Active states / districts</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36 / 861</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ETL / geo repair</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 alias normalizations (row-level)</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205,657</w:t>
            </w:r>
          </w:p>
        </w:tc>
      </w:tr>
      <w:tr>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ETL / geo repair</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 → Telangana reassignments</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92,491</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ETL / geo eval</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Gold set both-accuracy (n=19)</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100.0%</w:t>
            </w:r>
          </w:p>
        </w:tc>
      </w:tr>
      <w:tr>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Anomaly detection</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Flagged state×district cells</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42</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Forecasting</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Selected model (Auto)</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Ensemble · reason=beats_baselines</w:t>
            </w:r>
          </w:p>
        </w:tc>
      </w:tr>
      <w:tr>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Forecasting</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Rolling MASE (primary)</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0.901</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Forecasting</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Decision band</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directional</w:t>
            </w:r>
          </w:p>
        </w:tc>
      </w:tr>
      <w:tr>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Forecasting</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30-day path change</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7.75%</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Resource planning</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Operators @ 40 txn/day on peak</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3,404</w:t>
            </w:r>
          </w:p>
        </w:tc>
      </w:tr>
      <w:tr>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Web / governance</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Durable district merge patches</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96</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LLM insights</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Hybrid briefs available</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yes · qwen2.5:latest</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GET /api/dashboard, /api/forecast?horizon=30&amp;model=Auto, /api/meta, /api/map · snapshots under docs/_live_api_snapshots/</w:t>
      </w:r>
    </w:p>
    <w:p>
      <w:pPr>
        <w:pStyle w:val="Heading2"/>
        <w:spacing w:before="280" w:after="120"/>
      </w:pPr>
      <w:r>
        <w:rPr>
          <w:rFonts w:ascii="Calibri" w:hAnsi="Calibri" w:eastAsia="Calibri"/>
          <w:b/>
          <w:i w:val="0"/>
          <w:color w:val="0F766E"/>
          <w:sz w:val="26"/>
        </w:rPr>
        <w:t>1.2 Research contributions (outcome map)</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85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ID</w:t>
            </w:r>
          </w:p>
        </w:tc>
        <w:tc>
          <w:tcPr>
            <w:tcW w:type="dxa" w:w="481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Contribution</w:t>
            </w:r>
          </w:p>
        </w:tc>
        <w:tc>
          <w:tcPr>
            <w:tcW w:type="dxa" w:w="39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Where evidenced</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C1</w:t>
            </w:r>
          </w:p>
        </w:tc>
        <w:tc>
          <w:tcPr>
            <w:tcW w:type="dxa" w:w="481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Production-style geo repair with versioned rule pack + gold eval</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geo_repair_stats, geo_eval @ /api/meta; tests/test_geo_repair.py</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C2</w:t>
            </w:r>
          </w:p>
        </w:tc>
        <w:tc>
          <w:tcPr>
            <w:tcW w:type="dxa" w:w="481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Cache-first parquet marts (daily ops grain)</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data/processed/* · schema_version=4 · source=cache</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C3</w:t>
            </w:r>
          </w:p>
        </w:tc>
        <w:tc>
          <w:tcPr>
            <w:tcW w:type="dxa" w:w="481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Multi-feature Isolation Forest with reason codes &amp; notes</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/api/dashboard top_risk · /api/analytics risk_cells</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C4</w:t>
            </w:r>
          </w:p>
        </w:tc>
        <w:tc>
          <w:tcPr>
            <w:tcW w:type="dxa" w:w="481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 bake-off: rolling CV, MASE primary, baseline gate, conformal bands</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/api/forecast comparison + meta</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C5</w:t>
            </w:r>
          </w:p>
        </w:tc>
        <w:tc>
          <w:tcPr>
            <w:tcW w:type="dxa" w:w="481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Human-in-the-loop governance (durable merges/deletes + audit)</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governance_patches.json · 96 district merges</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C6</w:t>
            </w:r>
          </w:p>
        </w:tc>
        <w:tc>
          <w:tcPr>
            <w:tcW w:type="dxa" w:w="481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Evidence-locked hybrid AI (engine numbers + optional LLM)</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/api/insights/* · source hybrid</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C7</w:t>
            </w:r>
          </w:p>
        </w:tc>
        <w:tc>
          <w:tcPr>
            <w:tcW w:type="dxa" w:w="481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Operator web app at feature parity with research UI</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React SPA + FastAPI :8787 · FEATURE_PARITY.md</w:t>
            </w:r>
          </w:p>
        </w:tc>
      </w:tr>
    </w:tbl>
    <w:p>
      <w:pPr>
        <w:spacing w:after="120"/>
      </w:pP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1 — PLACEHOLDER ]</w:t>
            </w:r>
          </w:p>
          <w:p>
            <w:pPr>
              <w:jc w:val="center"/>
            </w:pPr>
            <w:r>
              <w:rPr>
                <w:rFonts w:ascii="Calibri" w:hAnsi="Calibri" w:eastAsia="Calibri"/>
                <w:b/>
                <w:i w:val="0"/>
                <w:color w:val="1E3A5F"/>
                <w:sz w:val="22"/>
              </w:rPr>
              <w:t>System architecture at a glance (dual UI over shared engine)</w:t>
            </w:r>
          </w:p>
          <w:p>
            <w:pPr>
              <w:jc w:val="center"/>
            </w:pPr>
            <w:r>
              <w:rPr>
                <w:rFonts w:ascii="Calibri" w:hAnsi="Calibri" w:eastAsia="Calibri"/>
                <w:b w:val="0"/>
                <w:i/>
                <w:color w:val="64748B"/>
                <w:sz w:val="16"/>
              </w:rPr>
              <w:t>Insert path: docs/figures/fig01_architecture.png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1. Placeholder — architecture overview: CSV/marts → AnalyticsEngine → FastAPI/React &amp; Streamlit.</w:t>
      </w:r>
    </w:p>
    <w:p>
      <w:pPr>
        <w:pStyle w:val="Heading1"/>
        <w:spacing w:before="360" w:after="160"/>
      </w:pPr>
      <w:r>
        <w:rPr>
          <w:rFonts w:ascii="Calibri" w:hAnsi="Calibri" w:eastAsia="Calibri"/>
          <w:b/>
          <w:i w:val="0"/>
          <w:color w:val="1E3A5F"/>
          <w:sz w:val="32"/>
        </w:rPr>
        <w:t>2. Problem Framing, Scope, and Research Questions</w:t>
      </w:r>
    </w:p>
    <w:p>
      <w:pPr>
        <w:pStyle w:val="Heading2"/>
        <w:spacing w:before="280" w:after="120"/>
      </w:pPr>
      <w:r>
        <w:rPr>
          <w:rFonts w:ascii="Calibri" w:hAnsi="Calibri" w:eastAsia="Calibri"/>
          <w:b/>
          <w:i w:val="0"/>
          <w:color w:val="0F766E"/>
          <w:sz w:val="26"/>
        </w:rPr>
        <w:t>2.1 Operational problem</w:t>
      </w:r>
    </w:p>
    <w:p>
      <w:pPr>
        <w:spacing w:after="160" w:before="0" w:line="240" w:lineRule="auto"/>
      </w:pPr>
      <w:r>
        <w:rPr>
          <w:rFonts w:ascii="Calibri" w:hAnsi="Calibri" w:eastAsia="Calibri"/>
          <w:b w:val="0"/>
          <w:i w:val="0"/>
          <w:color w:val="334155"/>
          <w:sz w:val="22"/>
        </w:rPr>
        <w:t>Public identity-system dashboards often stop at totals and static maps. Operators need clean, comparable geography; transparent district-level outlier investigation; demand outlook with uncertainty; and governance that survives reloads. This work addresses those needs on aggregate (non-individual) data.</w:t>
      </w:r>
    </w:p>
    <w:p>
      <w:pPr>
        <w:pStyle w:val="Heading2"/>
        <w:spacing w:before="280" w:after="120"/>
      </w:pPr>
      <w:r>
        <w:rPr>
          <w:rFonts w:ascii="Calibri" w:hAnsi="Calibri" w:eastAsia="Calibri"/>
          <w:b/>
          <w:i w:val="0"/>
          <w:color w:val="0F766E"/>
          <w:sz w:val="26"/>
        </w:rPr>
        <w:t>2.2 Research questions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85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ID</w:t>
            </w:r>
          </w:p>
        </w:tc>
        <w:tc>
          <w:tcPr>
            <w:tcW w:type="dxa" w:w="311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Question</w:t>
            </w:r>
          </w:p>
        </w:tc>
        <w:tc>
          <w:tcPr>
            <w:tcW w:type="dxa" w:w="283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Approach</w:t>
            </w:r>
          </w:p>
        </w:tc>
        <w:tc>
          <w:tcPr>
            <w:tcW w:type="dxa" w:w="283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Outcome status</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RQ1</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Can geo rules recover official states/districts on a gold set?</w:t>
            </w:r>
          </w:p>
        </w:tc>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Rule pack 1.1.0 + evaluate_geo_cleaning</w:t>
            </w:r>
          </w:p>
        </w:tc>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both_accuracy=1.0 (n=19)</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RQ2</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 multi-feature outliers surface actionable cells beyond raw spikes?</w:t>
            </w:r>
          </w:p>
        </w:tc>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IsolationForest on volume, CV, ratios, WoW, etc.</w:t>
            </w:r>
          </w:p>
        </w:tc>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42 cells; multi-reason codes</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RQ3</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When should complex forecasts beat simple baselines?</w:t>
            </w:r>
          </w:p>
        </w:tc>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Bake-off + beat SN &amp; MA on MASE</w:t>
            </w:r>
          </w:p>
        </w:tc>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Ensemble selected · beats_baselines · MASE=0.901</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RQ4</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Can hybrid AI assist without fabricating numbers?</w:t>
            </w:r>
          </w:p>
        </w:tc>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Evidence dict → draft → optional Ollama</w:t>
            </w:r>
          </w:p>
        </w:tc>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Key numbers engine-authored; LLM narrative optional</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RQ5</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Can a professional web UI retain research fidelity?</w:t>
            </w:r>
          </w:p>
        </w:tc>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Shared engine + FastAPI + React</w:t>
            </w:r>
          </w:p>
        </w:tc>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Live at :8787; parity documented</w:t>
            </w:r>
          </w:p>
        </w:tc>
      </w:tr>
    </w:tbl>
    <w:p>
      <w:pPr>
        <w:spacing w:after="120"/>
      </w:pPr>
    </w:p>
    <w:p>
      <w:pPr>
        <w:pStyle w:val="Heading2"/>
        <w:spacing w:before="280" w:after="120"/>
      </w:pPr>
      <w:r>
        <w:rPr>
          <w:rFonts w:ascii="Calibri" w:hAnsi="Calibri" w:eastAsia="Calibri"/>
          <w:b/>
          <w:i w:val="0"/>
          <w:color w:val="0F766E"/>
          <w:sz w:val="26"/>
        </w:rPr>
        <w:t>2.3 Explicit non-goals</w:t>
      </w:r>
    </w:p>
    <w:p>
      <w:pPr>
        <w:pStyle w:val="ListBullet"/>
        <w:spacing w:after="60"/>
        <w:ind w:left="360"/>
      </w:pPr>
      <w:r>
        <w:rPr>
          <w:rFonts w:ascii="Calibri" w:hAnsi="Calibri" w:eastAsia="Calibri"/>
          <w:b w:val="0"/>
          <w:i w:val="0"/>
          <w:color w:val="334155"/>
          <w:sz w:val="22"/>
        </w:rPr>
        <w:t>Individual-level identity adjudication, biometric matching, or legal fraud determination.</w:t>
      </w:r>
    </w:p>
    <w:p>
      <w:pPr>
        <w:pStyle w:val="ListBullet"/>
        <w:spacing w:after="60"/>
        <w:ind w:left="360"/>
      </w:pPr>
      <w:r>
        <w:rPr>
          <w:rFonts w:ascii="Calibri" w:hAnsi="Calibri" w:eastAsia="Calibri"/>
          <w:b w:val="0"/>
          <w:i w:val="0"/>
          <w:color w:val="334155"/>
          <w:sz w:val="22"/>
        </w:rPr>
        <w:t>Causal claims about migration or policy impact from aggregates alone.</w:t>
      </w:r>
    </w:p>
    <w:p>
      <w:pPr>
        <w:pStyle w:val="ListBullet"/>
        <w:spacing w:after="60"/>
        <w:ind w:left="360"/>
      </w:pPr>
      <w:r>
        <w:rPr>
          <w:rFonts w:ascii="Calibri" w:hAnsi="Calibri" w:eastAsia="Calibri"/>
          <w:b w:val="0"/>
          <w:i w:val="0"/>
          <w:color w:val="334155"/>
          <w:sz w:val="22"/>
        </w:rPr>
        <w:t>Guaranteed forecast accuracy under structural breaks without re-evaluation.</w:t>
      </w:r>
    </w:p>
    <w:p>
      <w:r>
        <w:br w:type="page"/>
      </w:r>
    </w:p>
    <w:p>
      <w:pPr>
        <w:pStyle w:val="Heading1"/>
        <w:spacing w:before="360" w:after="160"/>
      </w:pPr>
      <w:r>
        <w:rPr>
          <w:rFonts w:ascii="Calibri" w:hAnsi="Calibri" w:eastAsia="Calibri"/>
          <w:b/>
          <w:i w:val="0"/>
          <w:color w:val="1E3A5F"/>
          <w:sz w:val="32"/>
        </w:rPr>
        <w:t>3. Outcomes — Data Processing / ETL</w:t>
      </w:r>
    </w:p>
    <w:p>
      <w:pPr>
        <w:spacing w:after="160" w:before="0" w:line="240" w:lineRule="auto"/>
      </w:pPr>
      <w:r>
        <w:rPr>
          <w:rFonts w:ascii="Calibri" w:hAnsi="Calibri" w:eastAsia="Calibri"/>
          <w:b w:val="0"/>
          <w:i w:val="0"/>
          <w:color w:val="334155"/>
          <w:sz w:val="22"/>
        </w:rPr>
        <w:t>Data processing is treated as a first-class research outcome: without transparent cleaning, downstream anomaly and forecast metrics are not comparable across states and districts.</w:t>
      </w:r>
    </w:p>
    <w:p>
      <w:pPr>
        <w:pStyle w:val="Heading2"/>
        <w:spacing w:before="280" w:after="120"/>
      </w:pPr>
      <w:r>
        <w:rPr>
          <w:rFonts w:ascii="Calibri" w:hAnsi="Calibri" w:eastAsia="Calibri"/>
          <w:b/>
          <w:i w:val="0"/>
          <w:color w:val="0F766E"/>
          <w:sz w:val="26"/>
        </w:rPr>
        <w:t>3.1 Source inventory and contracts</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215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Stream</w:t>
            </w:r>
          </w:p>
        </w:tc>
        <w:tc>
          <w:tcPr>
            <w:tcW w:type="dxa" w:w="198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Raw rows (CSV shards)</w:t>
            </w:r>
          </w:p>
        </w:tc>
        <w:tc>
          <w:tcPr>
            <w:tcW w:type="dxa" w:w="1587"/>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Quarantined</w:t>
            </w:r>
          </w:p>
        </w:tc>
        <w:tc>
          <w:tcPr>
            <w:tcW w:type="dxa" w:w="215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Duplicate keys collapsed</w:t>
            </w:r>
          </w:p>
        </w:tc>
        <w:tc>
          <w:tcPr>
            <w:tcW w:type="dxa" w:w="1757"/>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Daily mart rows</w:t>
            </w:r>
          </w:p>
        </w:tc>
      </w:tr>
      <w:tr>
        <w:tc>
          <w:tcPr>
            <w:tcW w:type="dxa" w:w="215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Enrolment</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1,006,029</w:t>
            </w:r>
          </w:p>
        </w:tc>
        <w:tc>
          <w:tcPr>
            <w:tcW w:type="dxa" w:w="158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22</w:t>
            </w:r>
          </w:p>
        </w:tc>
        <w:tc>
          <w:tcPr>
            <w:tcW w:type="dxa" w:w="215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40,027</w:t>
            </w:r>
          </w:p>
        </w:tc>
        <w:tc>
          <w:tcPr>
            <w:tcW w:type="dxa" w:w="175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63,474</w:t>
            </w:r>
          </w:p>
        </w:tc>
      </w:tr>
      <w:tr>
        <w:tc>
          <w:tcPr>
            <w:tcW w:type="dxa" w:w="215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Biometric updates</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1,861,108</w:t>
            </w:r>
          </w:p>
        </w:tc>
        <w:tc>
          <w:tcPr>
            <w:tcW w:type="dxa" w:w="158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w:t>
            </w:r>
          </w:p>
        </w:tc>
        <w:tc>
          <w:tcPr>
            <w:tcW w:type="dxa" w:w="215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169,725</w:t>
            </w:r>
          </w:p>
        </w:tc>
        <w:tc>
          <w:tcPr>
            <w:tcW w:type="dxa" w:w="175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74,485</w:t>
            </w:r>
          </w:p>
        </w:tc>
      </w:tr>
      <w:tr>
        <w:tc>
          <w:tcPr>
            <w:tcW w:type="dxa" w:w="215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Demographic updates</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2,071,700</w:t>
            </w:r>
          </w:p>
        </w:tc>
        <w:tc>
          <w:tcPr>
            <w:tcW w:type="dxa" w:w="158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c>
          <w:tcPr>
            <w:tcW w:type="dxa" w:w="215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528,394</w:t>
            </w:r>
          </w:p>
        </w:tc>
        <w:tc>
          <w:tcPr>
            <w:tcW w:type="dxa" w:w="175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80,328</w:t>
            </w:r>
          </w:p>
        </w:tc>
      </w:tr>
      <w:tr>
        <w:tc>
          <w:tcPr>
            <w:tcW w:type="dxa" w:w="215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Total raw</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4,938,837</w:t>
            </w:r>
          </w:p>
        </w:tc>
        <w:tc>
          <w:tcPr>
            <w:tcW w:type="dxa" w:w="158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24</w:t>
            </w:r>
          </w:p>
        </w:tc>
        <w:tc>
          <w:tcPr>
            <w:tcW w:type="dxa" w:w="215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738,146</w:t>
            </w:r>
          </w:p>
        </w:tc>
        <w:tc>
          <w:tcPr>
            <w:tcW w:type="dxa" w:w="175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load_report from GET /api/meta; mart row counts from cache source.</w:t>
      </w:r>
    </w:p>
    <w:p>
      <w:pPr>
        <w:spacing w:after="160" w:before="0" w:line="240" w:lineRule="auto"/>
      </w:pPr>
      <w:r>
        <w:rPr>
          <w:rFonts w:ascii="Calibri" w:hAnsi="Calibri" w:eastAsia="Calibri"/>
          <w:b w:val="0"/>
          <w:i w:val="0"/>
          <w:color w:val="334155"/>
          <w:sz w:val="22"/>
        </w:rPr>
        <w:t>Grain contracts: natural key for de-duplication is date × state × district × pincode; analytics grain materialised in marts is date × state × district. Invalid dates/pincodes/non-official states are quarantined before repair.</w:t>
      </w:r>
    </w:p>
    <w:p>
      <w:pPr>
        <w:pStyle w:val="Heading2"/>
        <w:spacing w:before="280" w:after="120"/>
      </w:pPr>
      <w:r>
        <w:rPr>
          <w:rFonts w:ascii="Calibri" w:hAnsi="Calibri" w:eastAsia="Calibri"/>
          <w:b/>
          <w:i w:val="0"/>
          <w:color w:val="0F766E"/>
          <w:sz w:val="26"/>
        </w:rPr>
        <w:t>3.2 Pipeline stages</w:t>
      </w:r>
    </w:p>
    <w:p>
      <w:pPr>
        <w:spacing w:after="160" w:before="0" w:line="240" w:lineRule="auto"/>
      </w:pPr>
      <w:r>
        <w:rPr>
          <w:rFonts w:ascii="Calibri" w:hAnsi="Calibri" w:eastAsia="Calibri"/>
          <w:b w:val="0"/>
          <w:i w:val="0"/>
          <w:color w:val="334155"/>
          <w:sz w:val="22"/>
        </w:rPr>
        <w:t>CSV shards → classify (enrol/bio/demo) → validate dates &amp; pincode range → quarantine invalid rows → collapse natural-key duplicates (sum) → canonicalize state → full_geo_repair → optional AUTO_BUILD_CACHE → parquet marts + fingerprint manifest.</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2 — PLACEHOLDER ]</w:t>
            </w:r>
          </w:p>
          <w:p>
            <w:pPr>
              <w:jc w:val="center"/>
            </w:pPr>
            <w:r>
              <w:rPr>
                <w:rFonts w:ascii="Calibri" w:hAnsi="Calibri" w:eastAsia="Calibri"/>
                <w:b/>
                <w:i w:val="0"/>
                <w:color w:val="1E3A5F"/>
                <w:sz w:val="22"/>
              </w:rPr>
              <w:t>ETL pipeline flowchart (ingest → repair → marts → engine)</w:t>
            </w:r>
          </w:p>
          <w:p>
            <w:pPr>
              <w:jc w:val="center"/>
            </w:pPr>
            <w:r>
              <w:rPr>
                <w:rFonts w:ascii="Calibri" w:hAnsi="Calibri" w:eastAsia="Calibri"/>
                <w:b w:val="0"/>
                <w:i/>
                <w:color w:val="64748B"/>
                <w:sz w:val="16"/>
              </w:rPr>
              <w:t>Insert path: docs/figures/fig02_etl_pipeline.png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2. Placeholder — ETL and cache materialisation pipeline.</w:t>
      </w:r>
    </w:p>
    <w:p>
      <w:pPr>
        <w:pStyle w:val="Heading2"/>
        <w:spacing w:before="280" w:after="120"/>
      </w:pPr>
      <w:r>
        <w:rPr>
          <w:rFonts w:ascii="Calibri" w:hAnsi="Calibri" w:eastAsia="Calibri"/>
          <w:b/>
          <w:i w:val="0"/>
          <w:color w:val="0F766E"/>
          <w:sz w:val="26"/>
        </w:rPr>
        <w:t>3.3 Alias fixing and geography repair</w:t>
      </w:r>
    </w:p>
    <w:p>
      <w:pPr>
        <w:spacing w:after="160" w:before="0" w:line="240" w:lineRule="auto"/>
      </w:pPr>
      <w:r>
        <w:rPr>
          <w:rFonts w:ascii="Calibri" w:hAnsi="Calibri" w:eastAsia="Calibri"/>
          <w:b w:val="0"/>
          <w:i w:val="0"/>
          <w:color w:val="334155"/>
          <w:sz w:val="22"/>
        </w:rPr>
        <w:t>Ordered stages in full_geo_repair(): (1) district typed as state; (2) district aliases; (3) Andhra Pradesh → Telangana boundary allowlist; (4) PIN prefix → state fallback when state remains non-official. Rule pack version: 1.1.0.</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26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Repair stage</w:t>
            </w:r>
          </w:p>
        </w:tc>
        <w:tc>
          <w:tcPr>
            <w:tcW w:type="dxa" w:w="2551"/>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Rows affected (load_report)</w:t>
            </w:r>
          </w:p>
        </w:tc>
        <w:tc>
          <w:tcPr>
            <w:tcW w:type="dxa" w:w="481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Interpretation</w:t>
            </w:r>
          </w:p>
        </w:tc>
      </w:tr>
      <w:tr>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district_as_state</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11</w:t>
            </w:r>
          </w:p>
        </w:tc>
        <w:tc>
          <w:tcPr>
            <w:tcW w:type="dxa" w:w="481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 names incorrectly placed in state field</w:t>
            </w:r>
          </w:p>
        </w:tc>
      </w:tr>
      <w:tr>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district_aliases</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205,657</w:t>
            </w:r>
          </w:p>
        </w:tc>
        <w:tc>
          <w:tcPr>
            <w:tcW w:type="dxa" w:w="481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Spelling/alias normalization to canonical districts</w:t>
            </w:r>
          </w:p>
        </w:tc>
      </w:tr>
      <w:tr>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ap_to_telangana</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92,491</w:t>
            </w:r>
          </w:p>
        </w:tc>
        <w:tc>
          <w:tcPr>
            <w:tcW w:type="dxa" w:w="481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Post-bifurcation district reassignment</w:t>
            </w:r>
          </w:p>
        </w:tc>
      </w:tr>
      <w:tr>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pin_prefix_fallback</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w:t>
            </w:r>
          </w:p>
        </w:tc>
        <w:tc>
          <w:tcPr>
            <w:tcW w:type="dxa" w:w="481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 recovery via PIN prefix map</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load_report.geo_repair_stats @ GET /api/meta (also mirrored in data/processed/manifest.json).</w:t>
      </w:r>
    </w:p>
    <w:p>
      <w:pPr>
        <w:pStyle w:val="Heading3"/>
        <w:spacing w:before="200" w:after="80"/>
      </w:pPr>
      <w:r>
        <w:rPr>
          <w:rFonts w:ascii="Calibri" w:hAnsi="Calibri" w:eastAsia="Calibri"/>
          <w:b/>
          <w:i w:val="0"/>
          <w:color w:val="334155"/>
          <w:sz w:val="22"/>
        </w:rPr>
        <w:t>3.3.1 Gold-set evaluation (automated evidence)</w:t>
      </w:r>
    </w:p>
    <w:tbl>
      <w:tblPr>
        <w:tblStyle w:val="TableGrid"/>
        <w:tblW w:type="auto" w:w="0"/>
        <w:jc w:val="center"/>
        <w:tblLayout w:type="autofit"/>
        <w:tblLook w:firstColumn="1" w:firstRow="1" w:lastColumn="0" w:lastRow="0" w:noHBand="0" w:noVBand="1" w:val="04A0"/>
      </w:tblPr>
      <w:tblGrid>
        <w:gridCol w:w="4706"/>
        <w:gridCol w:w="4706"/>
      </w:tblGrid>
      <w:tr>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Metric</w:t>
            </w:r>
          </w:p>
        </w:tc>
        <w:tc>
          <w:tcPr>
            <w:tcW w:type="dxa" w:w="6236"/>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Gold examples (n)</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19</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Rule pack</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1.1.0</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 accuracy</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100.0%</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 accuracy</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100.0%</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Both accuracy</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100.0%</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Failures</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t>
            </w:r>
          </w:p>
        </w:tc>
      </w:tr>
    </w:tbl>
    <w:p>
      <w:pPr>
        <w:spacing w:after="120"/>
      </w:pPr>
    </w:p>
    <w:p>
      <w:pPr>
        <w:spacing w:after="80" w:before="0" w:line="240" w:lineRule="auto"/>
      </w:pPr>
      <w:r>
        <w:rPr>
          <w:rFonts w:ascii="Calibri" w:hAnsi="Calibri" w:eastAsia="Calibri"/>
          <w:b/>
          <w:i w:val="0"/>
          <w:color w:val="1E3A5F"/>
          <w:sz w:val="20"/>
        </w:rPr>
        <w:t>Per-rule gold accuracy</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83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Rule family</w:t>
            </w:r>
          </w:p>
        </w:tc>
        <w:tc>
          <w:tcPr>
            <w:tcW w:type="dxa" w:w="226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State OK</w:t>
            </w:r>
          </w:p>
        </w:tc>
        <w:tc>
          <w:tcPr>
            <w:tcW w:type="dxa" w:w="226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District OK</w:t>
            </w:r>
          </w:p>
        </w:tc>
        <w:tc>
          <w:tcPr>
            <w:tcW w:type="dxa" w:w="226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Both OK</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ap_telangana</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district_alias</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district_as_state</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identity</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pin_prefix_fallback</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quarantine_numeric</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state_alias</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geo_eval embedded in load_report from live /api/meta; harness assets/reference/eval_geo_gold.json.</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3 — PLACEHOLDER ]</w:t>
            </w:r>
          </w:p>
          <w:p>
            <w:pPr>
              <w:jc w:val="center"/>
            </w:pPr>
            <w:r>
              <w:rPr>
                <w:rFonts w:ascii="Calibri" w:hAnsi="Calibri" w:eastAsia="Calibri"/>
                <w:b/>
                <w:i w:val="0"/>
                <w:color w:val="1E3A5F"/>
                <w:sz w:val="22"/>
              </w:rPr>
              <w:t>Geo repair before/after examples (alias + AP→Telangana)</w:t>
            </w:r>
          </w:p>
          <w:p>
            <w:pPr>
              <w:jc w:val="center"/>
            </w:pPr>
            <w:r>
              <w:rPr>
                <w:rFonts w:ascii="Calibri" w:hAnsi="Calibri" w:eastAsia="Calibri"/>
                <w:b w:val="0"/>
                <w:i/>
                <w:color w:val="64748B"/>
                <w:sz w:val="16"/>
              </w:rPr>
              <w:t>Insert path: docs/figures/fig03_geo_repair_examples.png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3. Placeholder — illustrative rows before/after geography repair.</w:t>
      </w:r>
    </w:p>
    <w:p>
      <w:pPr>
        <w:pStyle w:val="Heading2"/>
        <w:spacing w:before="280" w:after="120"/>
      </w:pPr>
      <w:r>
        <w:rPr>
          <w:rFonts w:ascii="Calibri" w:hAnsi="Calibri" w:eastAsia="Calibri"/>
          <w:b/>
          <w:i w:val="0"/>
          <w:color w:val="0F766E"/>
          <w:sz w:val="26"/>
        </w:rPr>
        <w:t>3.4 Parquet analytical marts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83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Mart file</w:t>
            </w:r>
          </w:p>
        </w:tc>
        <w:tc>
          <w:tcPr>
            <w:tcW w:type="dxa" w:w="283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Role</w:t>
            </w:r>
          </w:p>
        </w:tc>
        <w:tc>
          <w:tcPr>
            <w:tcW w:type="dxa" w:w="198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Rows (live)</w:t>
            </w:r>
          </w:p>
        </w:tc>
        <w:tc>
          <w:tcPr>
            <w:tcW w:type="dxa" w:w="198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Approx. size on disk</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fact_enrol_daily.parquet</w:t>
            </w:r>
          </w:p>
        </w:tc>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Daily enrolment grain</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63,474</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~364 KB</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fact_bio_daily.parquet</w:t>
            </w:r>
          </w:p>
        </w:tc>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Daily biometric updates</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74,485</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~451 KB</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fact_demo_daily.parquet</w:t>
            </w:r>
          </w:p>
        </w:tc>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Daily demographic updates</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80,328</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~446 KB</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agg_district.parquet</w:t>
            </w:r>
          </w:p>
        </w:tc>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 aggregates</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953</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~32 KB</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dim_geo.parquet</w:t>
            </w:r>
          </w:p>
        </w:tc>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Geography dimension</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30,162</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~169 KB</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manifest.json</w:t>
            </w:r>
          </w:p>
        </w:tc>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Fingerprint + load_report</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schema_version=4</w:t>
            </w:r>
          </w:p>
        </w:tc>
      </w:tr>
    </w:tbl>
    <w:p>
      <w:pPr>
        <w:spacing w:after="120"/>
      </w:pPr>
    </w:p>
    <w:p>
      <w:pPr>
        <w:spacing w:after="160" w:before="0" w:line="240" w:lineRule="auto"/>
      </w:pPr>
      <w:r>
        <w:rPr>
          <w:rFonts w:ascii="Calibri" w:hAnsi="Calibri" w:eastAsia="Calibri"/>
          <w:b w:val="0"/>
          <w:i w:val="0"/>
          <w:color w:val="334155"/>
          <w:sz w:val="22"/>
        </w:rPr>
        <w:t>Cache-first loading (source=cache, cache_valid=true on this capture) enables sub-second operator UI reloads versus multi-million-row CSV re-parse. Schema version 4 gates compatibility when repair rules or mart layout change.</w:t>
      </w: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GET /api/health source=cache; GET /api/meta rows; data/processed/manifest.json.</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4 — PLACEHOLDER ]</w:t>
            </w:r>
          </w:p>
          <w:p>
            <w:pPr>
              <w:jc w:val="center"/>
            </w:pPr>
            <w:r>
              <w:rPr>
                <w:rFonts w:ascii="Calibri" w:hAnsi="Calibri" w:eastAsia="Calibri"/>
                <w:b/>
                <w:i w:val="0"/>
                <w:color w:val="1E3A5F"/>
                <w:sz w:val="22"/>
              </w:rPr>
              <w:t>Mart schema / row-count dashboard (optional ops slide)</w:t>
            </w:r>
          </w:p>
          <w:p>
            <w:pPr>
              <w:jc w:val="center"/>
            </w:pPr>
            <w:r>
              <w:rPr>
                <w:rFonts w:ascii="Calibri" w:hAnsi="Calibri" w:eastAsia="Calibri"/>
                <w:b w:val="0"/>
                <w:i/>
                <w:color w:val="64748B"/>
                <w:sz w:val="16"/>
              </w:rPr>
              <w:t>Insert path: docs/figures/fig04_mart_inventory.png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4. Placeholder — parquet mart inventory and fingerprint.</w:t>
      </w:r>
    </w:p>
    <w:p>
      <w:pPr>
        <w:pStyle w:val="Heading2"/>
        <w:spacing w:before="280" w:after="120"/>
      </w:pPr>
      <w:r>
        <w:rPr>
          <w:rFonts w:ascii="Calibri" w:hAnsi="Calibri" w:eastAsia="Calibri"/>
          <w:b/>
          <w:i w:val="0"/>
          <w:color w:val="0F766E"/>
          <w:sz w:val="26"/>
        </w:rPr>
        <w:t>3.5 Human governance overlays</w:t>
      </w:r>
    </w:p>
    <w:p>
      <w:pPr>
        <w:spacing w:after="160" w:before="0" w:line="240" w:lineRule="auto"/>
      </w:pPr>
      <w:r>
        <w:rPr>
          <w:rFonts w:ascii="Calibri" w:hAnsi="Calibri" w:eastAsia="Calibri"/>
          <w:b w:val="0"/>
          <w:i w:val="0"/>
          <w:color w:val="334155"/>
          <w:sz w:val="22"/>
        </w:rPr>
        <w:t>Residual name issues after automated repair are addressed by durable human patches (merge/delete/ignore) stored outside the mart rebuild so operator decisions survive reloads.</w:t>
      </w:r>
    </w:p>
    <w:tbl>
      <w:tblPr>
        <w:tblStyle w:val="TableGrid"/>
        <w:tblW w:type="auto" w:w="0"/>
        <w:jc w:val="center"/>
        <w:tblLayout w:type="autofit"/>
        <w:tblLook w:firstColumn="1" w:firstRow="1" w:lastColumn="0" w:lastRow="0" w:noHBand="0" w:noVBand="1" w:val="04A0"/>
      </w:tblPr>
      <w:tblGrid>
        <w:gridCol w:w="4706"/>
        <w:gridCol w:w="4706"/>
      </w:tblGrid>
      <w:tr>
        <w:tc>
          <w:tcPr>
            <w:tcW w:type="dxa" w:w="311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Governance artefact</w:t>
            </w:r>
          </w:p>
        </w:tc>
        <w:tc>
          <w:tcPr>
            <w:tcW w:type="dxa" w:w="652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Live count / path</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 merges</w:t>
            </w:r>
          </w:p>
        </w:tc>
        <w:tc>
          <w:tcPr>
            <w:tcW w:type="dxa" w:w="65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w:t>
            </w:r>
          </w:p>
        </w:tc>
      </w:tr>
      <w:tr>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 merges</w:t>
            </w:r>
          </w:p>
        </w:tc>
        <w:tc>
          <w:tcPr>
            <w:tcW w:type="dxa" w:w="65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96</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 deletions</w:t>
            </w:r>
          </w:p>
        </w:tc>
        <w:tc>
          <w:tcPr>
            <w:tcW w:type="dxa" w:w="65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w:t>
            </w:r>
          </w:p>
        </w:tc>
      </w:tr>
      <w:tr>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 deletions</w:t>
            </w:r>
          </w:p>
        </w:tc>
        <w:tc>
          <w:tcPr>
            <w:tcW w:type="dxa" w:w="65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Store path</w:t>
            </w:r>
          </w:p>
        </w:tc>
        <w:tc>
          <w:tcPr>
            <w:tcW w:type="dxa" w:w="65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D:\Project\Antigravity\Aadhaar-Intel-Engine-UIDAI\output\governance_patches.json</w:t>
            </w:r>
          </w:p>
        </w:tc>
      </w:tr>
      <w:tr>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Audit log</w:t>
            </w:r>
          </w:p>
        </w:tc>
        <w:tc>
          <w:tcPr>
            <w:tcW w:type="dxa" w:w="65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output/governance_audit.csv</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governance block on GET /api/meta; UI: Governance page on live web app.</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5 — PLACEHOLDER ]</w:t>
            </w:r>
          </w:p>
          <w:p>
            <w:pPr>
              <w:jc w:val="center"/>
            </w:pPr>
            <w:r>
              <w:rPr>
                <w:rFonts w:ascii="Calibri" w:hAnsi="Calibri" w:eastAsia="Calibri"/>
                <w:b/>
                <w:i w:val="0"/>
                <w:color w:val="1E3A5F"/>
                <w:sz w:val="22"/>
              </w:rPr>
              <w:t>Governance console screenshot (scan / merge / audit)</w:t>
            </w:r>
          </w:p>
          <w:p>
            <w:pPr>
              <w:jc w:val="center"/>
            </w:pPr>
            <w:r>
              <w:rPr>
                <w:rFonts w:ascii="Calibri" w:hAnsi="Calibri" w:eastAsia="Calibri"/>
                <w:b w:val="0"/>
                <w:i/>
                <w:color w:val="64748B"/>
                <w:sz w:val="16"/>
              </w:rPr>
              <w:t>Insert path: docs/figures/fig05_governance_ui.png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5. Placeholder — operator governance UI with durable patches.</w:t>
      </w:r>
    </w:p>
    <w:p>
      <w:r>
        <w:br w:type="page"/>
      </w:r>
    </w:p>
    <w:p>
      <w:pPr>
        <w:pStyle w:val="Heading1"/>
        <w:spacing w:before="360" w:after="160"/>
      </w:pPr>
      <w:r>
        <w:rPr>
          <w:rFonts w:ascii="Calibri" w:hAnsi="Calibri" w:eastAsia="Calibri"/>
          <w:b/>
          <w:i w:val="0"/>
          <w:color w:val="1E3A5F"/>
          <w:sz w:val="32"/>
        </w:rPr>
        <w:t>4. Outcomes — Anomaly Detection</w:t>
      </w:r>
    </w:p>
    <w:p>
      <w:pPr>
        <w:spacing w:after="160" w:before="0" w:line="240" w:lineRule="auto"/>
      </w:pPr>
      <w:r>
        <w:rPr>
          <w:rFonts w:ascii="Calibri" w:hAnsi="Calibri" w:eastAsia="Calibri"/>
          <w:b w:val="0"/>
          <w:i w:val="0"/>
          <w:color w:val="334155"/>
          <w:sz w:val="22"/>
        </w:rPr>
        <w:t>Anomaly detection triages state×district cells that are multi-feature outliers relative to peers. Scores support investigation prioritisation; they are not calibrated fraud probabilities.</w:t>
      </w:r>
    </w:p>
    <w:p>
      <w:pPr>
        <w:pStyle w:val="Heading2"/>
        <w:spacing w:before="280" w:after="120"/>
      </w:pPr>
      <w:r>
        <w:rPr>
          <w:rFonts w:ascii="Calibri" w:hAnsi="Calibri" w:eastAsia="Calibri"/>
          <w:b/>
          <w:i w:val="0"/>
          <w:color w:val="0F766E"/>
          <w:sz w:val="26"/>
        </w:rPr>
        <w:t>4.1 Method summary</w:t>
      </w:r>
    </w:p>
    <w:tbl>
      <w:tblPr>
        <w:tblStyle w:val="TableGrid"/>
        <w:tblW w:type="auto" w:w="0"/>
        <w:jc w:val="center"/>
        <w:tblLayout w:type="autofit"/>
        <w:tblLook w:firstColumn="1" w:firstRow="1" w:lastColumn="0" w:lastRow="0" w:noHBand="0" w:noVBand="1" w:val="04A0"/>
      </w:tblPr>
      <w:tblGrid>
        <w:gridCol w:w="4706"/>
        <w:gridCol w:w="4706"/>
      </w:tblGrid>
      <w:tr>
        <w:tc>
          <w:tcPr>
            <w:tcW w:type="dxa" w:w="2551"/>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Parameter</w:t>
            </w:r>
          </w:p>
        </w:tc>
        <w:tc>
          <w:tcPr>
            <w:tcW w:type="dxa" w:w="7087"/>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 (this run)</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Unit of analysis</w:t>
            </w:r>
          </w:p>
        </w:tc>
        <w:tc>
          <w:tcPr>
            <w:tcW w:type="dxa" w:w="708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 × district (composite cell)</w:t>
            </w:r>
          </w:p>
        </w:tc>
      </w:tr>
      <w:tr>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Model</w:t>
            </w:r>
          </w:p>
        </w:tc>
        <w:tc>
          <w:tcPr>
            <w:tcW w:type="dxa" w:w="708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sklearn.ensemble.IsolationForest</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Contamination</w:t>
            </w:r>
          </w:p>
        </w:tc>
        <w:tc>
          <w:tcPr>
            <w:tcW w:type="dxa" w:w="708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0.05</w:t>
            </w:r>
          </w:p>
        </w:tc>
      </w:tr>
      <w:tr>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Minimum volume</w:t>
            </w:r>
          </w:p>
        </w:tc>
        <w:tc>
          <w:tcPr>
            <w:tcW w:type="dxa" w:w="708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50</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n_estimators / seed</w:t>
            </w:r>
          </w:p>
        </w:tc>
        <w:tc>
          <w:tcPr>
            <w:tcW w:type="dxa" w:w="708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200 / fixed random_state (engine)</w:t>
            </w:r>
          </w:p>
        </w:tc>
      </w:tr>
      <w:tr>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Feature family</w:t>
            </w:r>
          </w:p>
        </w:tc>
        <w:tc>
          <w:tcPr>
            <w:tcW w:type="dxa" w:w="708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volume, log volume, day-to-day CV, bio ratio, demo ratio, WoW growth, active days, volume vs state median</w:t>
            </w:r>
          </w:p>
        </w:tc>
      </w:tr>
      <w:tr>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Outputs</w:t>
            </w:r>
          </w:p>
        </w:tc>
        <w:tc>
          <w:tcPr>
            <w:tcW w:type="dxa" w:w="708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risk_score, reason code, investigation_notes, driver_z</w:t>
            </w:r>
          </w:p>
        </w:tc>
      </w:tr>
    </w:tbl>
    <w:p>
      <w:pPr>
        <w:spacing w:after="120"/>
      </w:pPr>
    </w:p>
    <w:p>
      <w:pPr>
        <w:pStyle w:val="Heading2"/>
        <w:spacing w:before="280" w:after="120"/>
      </w:pPr>
      <w:r>
        <w:rPr>
          <w:rFonts w:ascii="Calibri" w:hAnsi="Calibri" w:eastAsia="Calibri"/>
          <w:b/>
          <w:i w:val="0"/>
          <w:color w:val="0F766E"/>
          <w:sz w:val="26"/>
        </w:rPr>
        <w:t>4.2 Detection outcomes (national filter)</w:t>
      </w:r>
    </w:p>
    <w:tbl>
      <w:tblPr>
        <w:tblStyle w:val="TableGrid"/>
        <w:tblW w:type="auto" w:w="0"/>
        <w:jc w:val="center"/>
        <w:tblLayout w:type="autofit"/>
        <w:tblLook w:firstColumn="1" w:firstRow="1" w:lastColumn="0" w:lastRow="0" w:noHBand="0" w:noVBand="1" w:val="04A0"/>
      </w:tblPr>
      <w:tblGrid>
        <w:gridCol w:w="4706"/>
        <w:gridCol w:w="4706"/>
      </w:tblGrid>
      <w:tr>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Metric</w:t>
            </w:r>
          </w:p>
        </w:tc>
        <w:tc>
          <w:tcPr>
            <w:tcW w:type="dxa" w:w="6236"/>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Cells flagged</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42</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Contamination setting</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0.05</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Min volume gate</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50</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Top reason (mode)</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Irregular activity footprint</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GET /api/dashboard (anomaly_count, top_risk); GET /api/analytics (risk_cells).</w:t>
      </w:r>
    </w:p>
    <w:p>
      <w:pPr>
        <w:pStyle w:val="Heading3"/>
        <w:spacing w:before="200" w:after="80"/>
      </w:pPr>
      <w:r>
        <w:rPr>
          <w:rFonts w:ascii="Calibri" w:hAnsi="Calibri" w:eastAsia="Calibri"/>
          <w:b/>
          <w:i w:val="0"/>
          <w:color w:val="334155"/>
          <w:sz w:val="22"/>
        </w:rPr>
        <w:t>4.2.1 Reason-code distribution</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453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Reason code</w:t>
            </w:r>
          </w:p>
        </w:tc>
        <w:tc>
          <w:tcPr>
            <w:tcW w:type="dxa" w:w="198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 cells</w:t>
            </w:r>
          </w:p>
        </w:tc>
        <w:tc>
          <w:tcPr>
            <w:tcW w:type="dxa" w:w="311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Share of flagged</w:t>
            </w:r>
          </w:p>
        </w:tc>
      </w:tr>
      <w:tr>
        <w:tc>
          <w:tcPr>
            <w:tcW w:type="dxa" w:w="45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Irregular activity footprint</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38.1%</w:t>
            </w:r>
          </w:p>
        </w:tc>
      </w:tr>
      <w:tr>
        <w:tc>
          <w:tcPr>
            <w:tcW w:type="dxa" w:w="45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Volume far from state median</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16.7%</w:t>
            </w:r>
          </w:p>
        </w:tc>
      </w:tr>
      <w:tr>
        <w:tc>
          <w:tcPr>
            <w:tcW w:type="dxa" w:w="45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 day-to-day volatility</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16.7%</w:t>
            </w:r>
          </w:p>
        </w:tc>
      </w:tr>
      <w:tr>
        <w:tc>
          <w:tcPr>
            <w:tcW w:type="dxa" w:w="45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Abnormal demographic/enrolment ratio</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11.9%</w:t>
            </w:r>
          </w:p>
        </w:tc>
      </w:tr>
      <w:tr>
        <w:tc>
          <w:tcPr>
            <w:tcW w:type="dxa" w:w="45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Abnormal biometric/enrolment ratio</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9.5%</w:t>
            </w:r>
          </w:p>
        </w:tc>
      </w:tr>
      <w:tr>
        <w:tc>
          <w:tcPr>
            <w:tcW w:type="dxa" w:w="45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Sharp recent growth/decline</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7.1%</w:t>
            </w:r>
          </w:p>
        </w:tc>
      </w:tr>
    </w:tbl>
    <w:p>
      <w:pPr>
        <w:spacing w:after="120"/>
      </w:pPr>
    </w:p>
    <w:p>
      <w:pPr>
        <w:pStyle w:val="Heading3"/>
        <w:spacing w:before="200" w:after="80"/>
      </w:pPr>
      <w:r>
        <w:rPr>
          <w:rFonts w:ascii="Calibri" w:hAnsi="Calibri" w:eastAsia="Calibri"/>
          <w:b/>
          <w:i w:val="0"/>
          <w:color w:val="334155"/>
          <w:sz w:val="22"/>
        </w:rPr>
        <w:t>4.2.2 States with most flagged cells</w:t>
      </w:r>
    </w:p>
    <w:tbl>
      <w:tblPr>
        <w:tblStyle w:val="TableGrid"/>
        <w:tblW w:type="auto" w:w="0"/>
        <w:jc w:val="center"/>
        <w:tblLayout w:type="autofit"/>
        <w:tblLook w:firstColumn="1" w:firstRow="1" w:lastColumn="0" w:lastRow="0" w:noHBand="0" w:noVBand="1" w:val="04A0"/>
      </w:tblPr>
      <w:tblGrid>
        <w:gridCol w:w="4706"/>
        <w:gridCol w:w="4706"/>
      </w:tblGrid>
      <w:tr>
        <w:tc>
          <w:tcPr>
            <w:tcW w:type="dxa" w:w="56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State / UT</w:t>
            </w:r>
          </w:p>
        </w:tc>
        <w:tc>
          <w:tcPr>
            <w:tcW w:type="dxa" w:w="39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Flagged cells</w:t>
            </w:r>
          </w:p>
        </w:tc>
      </w:tr>
      <w:tr>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West Bengal</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w:t>
            </w:r>
          </w:p>
        </w:tc>
      </w:tr>
      <w:tr>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Meghalaya</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r>
      <w:tr>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Gujarat</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w:t>
            </w:r>
          </w:p>
        </w:tc>
      </w:tr>
      <w:tr>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Manipur</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w:t>
            </w:r>
          </w:p>
        </w:tc>
      </w:tr>
      <w:tr>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Chhattisgarh</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w:t>
            </w:r>
          </w:p>
        </w:tc>
      </w:tr>
      <w:tr>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Assam</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w:t>
            </w:r>
          </w:p>
        </w:tc>
      </w:tr>
      <w:tr>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Arunachal Pradesh</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r>
      <w:tr>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Bihar</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r>
      <w:tr>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Dadra &amp; Nagar Haveli And Daman &amp; Diu</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r>
      <w:tr>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Punjab</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r>
      <w:tr>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Maharashtra</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r>
      <w:tr>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Karnataka</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w:t>
            </w:r>
          </w:p>
        </w:tc>
      </w:tr>
    </w:tbl>
    <w:p>
      <w:pPr>
        <w:spacing w:after="120"/>
      </w:pPr>
    </w:p>
    <w:p>
      <w:pPr>
        <w:pStyle w:val="Heading3"/>
        <w:spacing w:before="200" w:after="80"/>
      </w:pPr>
      <w:r>
        <w:rPr>
          <w:rFonts w:ascii="Calibri" w:hAnsi="Calibri" w:eastAsia="Calibri"/>
          <w:b/>
          <w:i w:val="0"/>
          <w:color w:val="334155"/>
          <w:sz w:val="22"/>
        </w:rPr>
        <w:t>4.2.3 Top investigation queue (live)</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47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State</w:t>
            </w:r>
          </w:p>
        </w:tc>
        <w:tc>
          <w:tcPr>
            <w:tcW w:type="dxa" w:w="192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District</w:t>
            </w:r>
          </w:p>
        </w:tc>
        <w:tc>
          <w:tcPr>
            <w:tcW w:type="dxa" w:w="907"/>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Volume</w:t>
            </w:r>
          </w:p>
        </w:tc>
        <w:tc>
          <w:tcPr>
            <w:tcW w:type="dxa" w:w="68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Risk</w:t>
            </w:r>
          </w:p>
        </w:tc>
        <w:tc>
          <w:tcPr>
            <w:tcW w:type="dxa" w:w="2041"/>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Reason</w:t>
            </w:r>
          </w:p>
        </w:tc>
        <w:tc>
          <w:tcPr>
            <w:tcW w:type="dxa" w:w="68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CV</w:t>
            </w:r>
          </w:p>
        </w:tc>
        <w:tc>
          <w:tcPr>
            <w:tcW w:type="dxa" w:w="68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Bio</w:t>
            </w:r>
          </w:p>
        </w:tc>
        <w:tc>
          <w:tcPr>
            <w:tcW w:type="dxa" w:w="68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Demo</w:t>
            </w:r>
          </w:p>
        </w:tc>
      </w:tr>
      <w:tr>
        <w:tc>
          <w:tcPr>
            <w:tcW w:type="dxa" w:w="147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Meghalaya</w:t>
            </w:r>
          </w:p>
        </w:tc>
        <w:tc>
          <w:tcPr>
            <w:tcW w:type="dxa" w:w="192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Eastern West Khasi Hills</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818</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99</w:t>
            </w:r>
          </w:p>
        </w:tc>
        <w:tc>
          <w:tcPr>
            <w:tcW w:type="dxa" w:w="204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Sharp recent growth/decline</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3.22</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0.01</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0.37</w:t>
            </w:r>
          </w:p>
        </w:tc>
      </w:tr>
      <w:tr>
        <w:tc>
          <w:tcPr>
            <w:tcW w:type="dxa" w:w="147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Meghalaya</w:t>
            </w:r>
          </w:p>
        </w:tc>
        <w:tc>
          <w:tcPr>
            <w:tcW w:type="dxa" w:w="192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East Khasi Hills</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44,710</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98</w:t>
            </w:r>
          </w:p>
        </w:tc>
        <w:tc>
          <w:tcPr>
            <w:tcW w:type="dxa" w:w="204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Volume far from state median</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3.77</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0.61</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0.60</w:t>
            </w:r>
          </w:p>
        </w:tc>
      </w:tr>
      <w:tr>
        <w:tc>
          <w:tcPr>
            <w:tcW w:type="dxa" w:w="147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Meghalaya</w:t>
            </w:r>
          </w:p>
        </w:tc>
        <w:tc>
          <w:tcPr>
            <w:tcW w:type="dxa" w:w="192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Kamrup</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143</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90</w:t>
            </w:r>
          </w:p>
        </w:tc>
        <w:tc>
          <w:tcPr>
            <w:tcW w:type="dxa" w:w="204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Irregular activity footprint</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r>
      <w:tr>
        <w:tc>
          <w:tcPr>
            <w:tcW w:type="dxa" w:w="147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Karnataka</w:t>
            </w:r>
          </w:p>
        </w:tc>
        <w:tc>
          <w:tcPr>
            <w:tcW w:type="dxa" w:w="192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Bengaluru Urban</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61,070</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88</w:t>
            </w:r>
          </w:p>
        </w:tc>
        <w:tc>
          <w:tcPr>
            <w:tcW w:type="dxa" w:w="204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Volume far from state median</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2.63</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8.12</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5.83</w:t>
            </w:r>
          </w:p>
        </w:tc>
      </w:tr>
      <w:tr>
        <w:tc>
          <w:tcPr>
            <w:tcW w:type="dxa" w:w="147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West Bengal</w:t>
            </w:r>
          </w:p>
        </w:tc>
        <w:tc>
          <w:tcPr>
            <w:tcW w:type="dxa" w:w="192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24 Paraganas South</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490</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87</w:t>
            </w:r>
          </w:p>
        </w:tc>
        <w:tc>
          <w:tcPr>
            <w:tcW w:type="dxa" w:w="204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Irregular activity footprint</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r>
      <w:tr>
        <w:tc>
          <w:tcPr>
            <w:tcW w:type="dxa" w:w="147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Haryana</w:t>
            </w:r>
          </w:p>
        </w:tc>
        <w:tc>
          <w:tcPr>
            <w:tcW w:type="dxa" w:w="192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Nuh</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1,506</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87</w:t>
            </w:r>
          </w:p>
        </w:tc>
        <w:tc>
          <w:tcPr>
            <w:tcW w:type="dxa" w:w="204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Irregular activity footprint</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r>
      <w:tr>
        <w:tc>
          <w:tcPr>
            <w:tcW w:type="dxa" w:w="147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Gujarat</w:t>
            </w:r>
          </w:p>
        </w:tc>
        <w:tc>
          <w:tcPr>
            <w:tcW w:type="dxa" w:w="192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Banas Kantha</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13,498</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87</w:t>
            </w:r>
          </w:p>
        </w:tc>
        <w:tc>
          <w:tcPr>
            <w:tcW w:type="dxa" w:w="204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 day-to-day volatility</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5.52</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0.04</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0.04</w:t>
            </w:r>
          </w:p>
        </w:tc>
      </w:tr>
      <w:tr>
        <w:tc>
          <w:tcPr>
            <w:tcW w:type="dxa" w:w="147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Jammu &amp; Kashmir</w:t>
            </w:r>
          </w:p>
        </w:tc>
        <w:tc>
          <w:tcPr>
            <w:tcW w:type="dxa" w:w="192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Shopian</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412</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86</w:t>
            </w:r>
          </w:p>
        </w:tc>
        <w:tc>
          <w:tcPr>
            <w:tcW w:type="dxa" w:w="204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Irregular activity footprint</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r>
      <w:tr>
        <w:tc>
          <w:tcPr>
            <w:tcW w:type="dxa" w:w="147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Arunachal Pradesh</w:t>
            </w:r>
          </w:p>
        </w:tc>
        <w:tc>
          <w:tcPr>
            <w:tcW w:type="dxa" w:w="192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Kurung Kumey</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75</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86</w:t>
            </w:r>
          </w:p>
        </w:tc>
        <w:tc>
          <w:tcPr>
            <w:tcW w:type="dxa" w:w="204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Irregular activity footprint</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0.68</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44.61</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4.41</w:t>
            </w:r>
          </w:p>
        </w:tc>
      </w:tr>
      <w:tr>
        <w:tc>
          <w:tcPr>
            <w:tcW w:type="dxa" w:w="147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Arunachal Pradesh</w:t>
            </w:r>
          </w:p>
        </w:tc>
        <w:tc>
          <w:tcPr>
            <w:tcW w:type="dxa" w:w="192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Longding</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897</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85</w:t>
            </w:r>
          </w:p>
        </w:tc>
        <w:tc>
          <w:tcPr>
            <w:tcW w:type="dxa" w:w="204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Volume far from state median</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3.34</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2.89</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1.65</w:t>
            </w:r>
          </w:p>
        </w:tc>
      </w:tr>
      <w:tr>
        <w:tc>
          <w:tcPr>
            <w:tcW w:type="dxa" w:w="147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West Bengal</w:t>
            </w:r>
          </w:p>
        </w:tc>
        <w:tc>
          <w:tcPr>
            <w:tcW w:type="dxa" w:w="192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Dinajpur Dakshin</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997</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85</w:t>
            </w:r>
          </w:p>
        </w:tc>
        <w:tc>
          <w:tcPr>
            <w:tcW w:type="dxa" w:w="204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Irregular activity footprint</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0.00</w:t>
            </w:r>
          </w:p>
        </w:tc>
      </w:tr>
      <w:tr>
        <w:tc>
          <w:tcPr>
            <w:tcW w:type="dxa" w:w="147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Bihar</w:t>
            </w:r>
          </w:p>
        </w:tc>
        <w:tc>
          <w:tcPr>
            <w:tcW w:type="dxa" w:w="192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Pashchim Champaran</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16,359</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85</w:t>
            </w:r>
          </w:p>
        </w:tc>
        <w:tc>
          <w:tcPr>
            <w:tcW w:type="dxa" w:w="204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 day-to-day volatility</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4.54</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0.02</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0.07</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top_risk from GET /api/dashboard; full investigation_notes available per cell in API payload.</w:t>
      </w:r>
    </w:p>
    <w:p>
      <w:pPr>
        <w:pStyle w:val="Heading3"/>
        <w:spacing w:before="200" w:after="80"/>
      </w:pPr>
      <w:r>
        <w:rPr>
          <w:rFonts w:ascii="Calibri" w:hAnsi="Calibri" w:eastAsia="Calibri"/>
          <w:b/>
          <w:i w:val="0"/>
          <w:color w:val="334155"/>
          <w:sz w:val="22"/>
        </w:rPr>
        <w:t>4.2.4 Example investigation note (engine-authored)</w:t>
      </w:r>
    </w:p>
    <w:tbl>
      <w:tblPr>
        <w:tblW w:type="auto" w:w="0"/>
        <w:tblLook w:firstColumn="1" w:firstRow="1" w:lastColumn="0" w:lastRow="0" w:noHBand="0" w:noVBand="1" w:val="04A0"/>
      </w:tblPr>
      <w:tblGrid>
        <w:gridCol w:w="9412"/>
      </w:tblGrid>
      <w:tr>
        <w:tc>
          <w:tcPr>
            <w:tcW w:type="dxa" w:w="9412"/>
            <w:shd w:fill="F1F5F9" w:val="clear"/>
            <w:tcBorders>
              <w:top w:val="single" w:sz="8" w:space="0" w:color="94A3B8"/>
              <w:left w:val="single" w:sz="8" w:space="0" w:color="94A3B8"/>
              <w:bottom w:val="single" w:sz="8" w:space="0" w:color="94A3B8"/>
              <w:right w:val="single" w:sz="8" w:space="0" w:color="94A3B8"/>
            </w:tcBorders>
          </w:tcPr>
          <w:p>
            <w:r/>
            <w:r>
              <w:rPr>
                <w:rFonts w:ascii="Calibri" w:hAnsi="Calibri" w:eastAsia="Calibri"/>
                <w:b w:val="0"/>
                <w:i/>
                <w:color w:val="334155"/>
                <w:sz w:val="18"/>
              </w:rPr>
              <w:t>Unit=(Meghalaya, Eastern West Khasi Hills); volume=818; bio_ratio=0.01; demo_ratio=0.37; cv=3.22; vs_state_med=0.13; driver=wow_growth(|z|=24.87). IsolationForest contamination=0.05, min_volume=50.</w:t>
            </w:r>
          </w:p>
        </w:tc>
      </w:tr>
    </w:tbl>
    <w:p>
      <w:pPr>
        <w:spacing w:after="120"/>
      </w:pP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6 — PLACEHOLDER ]</w:t>
            </w:r>
          </w:p>
          <w:p>
            <w:pPr>
              <w:jc w:val="center"/>
            </w:pPr>
            <w:r>
              <w:rPr>
                <w:rFonts w:ascii="Calibri" w:hAnsi="Calibri" w:eastAsia="Calibri"/>
                <w:b/>
                <w:i w:val="0"/>
                <w:color w:val="1E3A5F"/>
                <w:sz w:val="22"/>
              </w:rPr>
              <w:t>Anomaly risk bars / scatter (Analytics page)</w:t>
            </w:r>
          </w:p>
          <w:p>
            <w:pPr>
              <w:jc w:val="center"/>
            </w:pPr>
            <w:r>
              <w:rPr>
                <w:rFonts w:ascii="Calibri" w:hAnsi="Calibri" w:eastAsia="Calibri"/>
                <w:b w:val="0"/>
                <w:i/>
                <w:color w:val="64748B"/>
                <w:sz w:val="16"/>
              </w:rPr>
              <w:t>Insert path: docs/figures/fig06_anomaly_risk.png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6. Placeholder — multi-feature risk ranking visualization.</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7 — PLACEHOLDER ]</w:t>
            </w:r>
          </w:p>
          <w:p>
            <w:pPr>
              <w:jc w:val="center"/>
            </w:pPr>
            <w:r>
              <w:rPr>
                <w:rFonts w:ascii="Calibri" w:hAnsi="Calibri" w:eastAsia="Calibri"/>
                <w:b/>
                <w:i w:val="0"/>
                <w:color w:val="1E3A5F"/>
                <w:sz w:val="22"/>
              </w:rPr>
              <w:t>Risk radar / feature profile for top cells</w:t>
            </w:r>
          </w:p>
          <w:p>
            <w:pPr>
              <w:jc w:val="center"/>
            </w:pPr>
            <w:r>
              <w:rPr>
                <w:rFonts w:ascii="Calibri" w:hAnsi="Calibri" w:eastAsia="Calibri"/>
                <w:b w:val="0"/>
                <w:i/>
                <w:color w:val="64748B"/>
                <w:sz w:val="16"/>
              </w:rPr>
              <w:t>Insert path: docs/figures/fig07_risk_radar.png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7. Placeholder — radar or parallel-coordinates of anomaly features.</w:t>
      </w:r>
    </w:p>
    <w:p>
      <w:pPr>
        <w:pStyle w:val="Heading2"/>
        <w:spacing w:before="280" w:after="120"/>
      </w:pPr>
      <w:r>
        <w:rPr>
          <w:rFonts w:ascii="Calibri" w:hAnsi="Calibri" w:eastAsia="Calibri"/>
          <w:b/>
          <w:i w:val="0"/>
          <w:color w:val="0F766E"/>
          <w:sz w:val="26"/>
        </w:rPr>
        <w:t>4.3 Operational reading</w:t>
      </w:r>
    </w:p>
    <w:p>
      <w:pPr>
        <w:pStyle w:val="ListBullet"/>
        <w:spacing w:after="60"/>
        <w:ind w:left="360"/>
      </w:pPr>
      <w:r>
        <w:rPr>
          <w:rFonts w:ascii="Calibri" w:hAnsi="Calibri" w:eastAsia="Calibri"/>
          <w:b w:val="0"/>
          <w:i w:val="0"/>
          <w:color w:val="334155"/>
          <w:sz w:val="22"/>
        </w:rPr>
        <w:t>With contamination=0.05, the engine surfaces a short list (42 cells) suitable for human review rather than an exhaustive list of all high-volume districts.</w:t>
      </w:r>
    </w:p>
    <w:p>
      <w:pPr>
        <w:pStyle w:val="ListBullet"/>
        <w:spacing w:after="60"/>
        <w:ind w:left="360"/>
      </w:pPr>
      <w:r>
        <w:rPr>
          <w:rFonts w:ascii="Calibri" w:hAnsi="Calibri" w:eastAsia="Calibri"/>
          <w:b w:val="0"/>
          <w:i w:val="0"/>
          <w:color w:val="334155"/>
          <w:sz w:val="22"/>
        </w:rPr>
        <w:t>Dominant reason codes on this capture include irregular activity footprint, volume vs state median, and day-to-day volatility — indicating the detector is not reducible to a single volume threshold.</w:t>
      </w:r>
    </w:p>
    <w:p>
      <w:pPr>
        <w:pStyle w:val="ListBullet"/>
        <w:spacing w:after="60"/>
        <w:ind w:left="360"/>
      </w:pPr>
      <w:r>
        <w:rPr>
          <w:rFonts w:ascii="Calibri" w:hAnsi="Calibri" w:eastAsia="Calibri"/>
          <w:b w:val="0"/>
          <w:i w:val="0"/>
          <w:color w:val="334155"/>
          <w:sz w:val="22"/>
        </w:rPr>
        <w:t>Meghalaya and West Bengal appear frequently in both high-risk and high-volume contexts; operators should cross-check with local calendars, kit availability, and name-quality campaigns before escalating.</w:t>
      </w:r>
    </w:p>
    <w:p>
      <w:r>
        <w:br w:type="page"/>
      </w:r>
    </w:p>
    <w:p>
      <w:pPr>
        <w:pStyle w:val="Heading1"/>
        <w:spacing w:before="360" w:after="160"/>
      </w:pPr>
      <w:r>
        <w:rPr>
          <w:rFonts w:ascii="Calibri" w:hAnsi="Calibri" w:eastAsia="Calibri"/>
          <w:b/>
          <w:i w:val="0"/>
          <w:color w:val="1E3A5F"/>
          <w:sz w:val="32"/>
        </w:rPr>
        <w:t>5. Outcomes — Forecasting, Model Comparison &amp; Resource Planning</w:t>
      </w:r>
    </w:p>
    <w:p>
      <w:pPr>
        <w:spacing w:after="160" w:before="0" w:line="240" w:lineRule="auto"/>
      </w:pPr>
      <w:r>
        <w:rPr>
          <w:rFonts w:ascii="Calibri" w:hAnsi="Calibri" w:eastAsia="Calibri"/>
          <w:b w:val="0"/>
          <w:i w:val="0"/>
          <w:color w:val="334155"/>
          <w:sz w:val="22"/>
        </w:rPr>
        <w:t>Forecasting targets national (or single-state) daily enrolment. Missing calendar days are filled with zeros to preserve day-of-week structure. Auto mode runs a multi-model bake-off with rolling-origin cross-validation, ranks by MASE, and applies a baseline gate so non-baseline models must beat both SeasonalNaive and MovingAverage.</w:t>
      </w:r>
    </w:p>
    <w:p>
      <w:pPr>
        <w:pStyle w:val="Heading2"/>
        <w:spacing w:before="280" w:after="120"/>
      </w:pPr>
      <w:r>
        <w:rPr>
          <w:rFonts w:ascii="Calibri" w:hAnsi="Calibri" w:eastAsia="Calibri"/>
          <w:b/>
          <w:i w:val="0"/>
          <w:color w:val="0F766E"/>
          <w:sz w:val="26"/>
        </w:rPr>
        <w:t>5.1 Run configuration</w:t>
      </w:r>
    </w:p>
    <w:tbl>
      <w:tblPr>
        <w:tblStyle w:val="TableGrid"/>
        <w:tblW w:type="auto" w:w="0"/>
        <w:jc w:val="center"/>
        <w:tblLayout w:type="autofit"/>
        <w:tblLook w:firstColumn="1" w:firstRow="1" w:lastColumn="0" w:lastRow="0" w:noHBand="0" w:noVBand="1" w:val="04A0"/>
      </w:tblPr>
      <w:tblGrid>
        <w:gridCol w:w="4706"/>
        <w:gridCol w:w="4706"/>
      </w:tblGrid>
      <w:tr>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Setting</w:t>
            </w:r>
          </w:p>
        </w:tc>
        <w:tc>
          <w:tcPr>
            <w:tcW w:type="dxa" w:w="6236"/>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Scope</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National daily enrolment</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Horizon</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30 days</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Train days</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305</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Data end</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2025-12-31</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Candidates</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MovingAverage, Drift, Ensemble, SeasonalNaive</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Primary metric</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mase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Selection mode</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beats_baselines</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Calendar fill missing days</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True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Interval method</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split_conformal_abs_residual</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Conformal α / q</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0.1 / 125,432</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Decision band</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directional</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GET /api/forecast?horizon=30&amp;model=Auto → meta block.</w:t>
      </w:r>
    </w:p>
    <w:p>
      <w:pPr>
        <w:pStyle w:val="Heading2"/>
        <w:spacing w:before="280" w:after="120"/>
      </w:pPr>
      <w:r>
        <w:rPr>
          <w:rFonts w:ascii="Calibri" w:hAnsi="Calibri" w:eastAsia="Calibri"/>
          <w:b/>
          <w:i w:val="0"/>
          <w:color w:val="0F766E"/>
          <w:sz w:val="26"/>
        </w:rPr>
        <w:t>5.2 Model bake-off (rolling-origin CV)</w:t>
      </w:r>
    </w:p>
    <w:tbl>
      <w:tblPr>
        <w:tblStyle w:val="TableGrid"/>
        <w:tblW w:type="auto" w:w="0"/>
        <w:jc w:val="center"/>
        <w:tblLayout w:type="autofit"/>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68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Rank</w:t>
            </w:r>
          </w:p>
        </w:tc>
        <w:tc>
          <w:tcPr>
            <w:tcW w:type="dxa" w:w="147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Model</w:t>
            </w:r>
          </w:p>
        </w:tc>
        <w:tc>
          <w:tcPr>
            <w:tcW w:type="dxa" w:w="85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MASE↓</w:t>
            </w:r>
          </w:p>
        </w:tc>
        <w:tc>
          <w:tcPr>
            <w:tcW w:type="dxa" w:w="907"/>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sMAPE%</w:t>
            </w:r>
          </w:p>
        </w:tc>
        <w:tc>
          <w:tcPr>
            <w:tcW w:type="dxa" w:w="85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MAPE%</w:t>
            </w:r>
          </w:p>
        </w:tc>
        <w:tc>
          <w:tcPr>
            <w:tcW w:type="dxa" w:w="102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RMSE</w:t>
            </w:r>
          </w:p>
        </w:tc>
        <w:tc>
          <w:tcPr>
            <w:tcW w:type="dxa" w:w="907"/>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Bias</w:t>
            </w:r>
          </w:p>
        </w:tc>
        <w:tc>
          <w:tcPr>
            <w:tcW w:type="dxa" w:w="68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Folds</w:t>
            </w:r>
          </w:p>
        </w:tc>
        <w:tc>
          <w:tcPr>
            <w:tcW w:type="dxa" w:w="113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Band</w:t>
            </w:r>
          </w:p>
        </w:tc>
        <w:tc>
          <w:tcPr>
            <w:tcW w:type="dxa" w:w="907"/>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Selected</w:t>
            </w:r>
          </w:p>
        </w:tc>
      </w:tr>
      <w:tr>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w:t>
            </w:r>
          </w:p>
        </w:tc>
        <w:tc>
          <w:tcPr>
            <w:tcW w:type="dxa" w:w="147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Ensemble</w:t>
            </w:r>
          </w:p>
        </w:tc>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0.9010</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188.60</w:t>
            </w:r>
          </w:p>
        </w:tc>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95.72</w:t>
            </w:r>
          </w:p>
        </w:tc>
        <w:tc>
          <w:tcPr>
            <w:tcW w:type="dxa" w:w="10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34,916.1</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-16,458.3</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directional</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YES</w:t>
            </w:r>
          </w:p>
        </w:tc>
      </w:tr>
      <w:tr>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c>
          <w:tcPr>
            <w:tcW w:type="dxa" w:w="147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MovingAverage</w:t>
            </w:r>
          </w:p>
        </w:tc>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0.9863</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182.40</w:t>
            </w:r>
          </w:p>
        </w:tc>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92.83</w:t>
            </w:r>
          </w:p>
        </w:tc>
        <w:tc>
          <w:tcPr>
            <w:tcW w:type="dxa" w:w="10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36,185.8</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-13,187.3</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directional</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r>
          </w:p>
        </w:tc>
      </w:tr>
      <w:tr>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w:t>
            </w:r>
          </w:p>
        </w:tc>
        <w:tc>
          <w:tcPr>
            <w:tcW w:type="dxa" w:w="147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Drift</w:t>
            </w:r>
          </w:p>
        </w:tc>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0.9945</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200.00</w:t>
            </w:r>
          </w:p>
        </w:tc>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100.00</w:t>
            </w:r>
          </w:p>
        </w:tc>
        <w:tc>
          <w:tcPr>
            <w:tcW w:type="dxa" w:w="10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36,542.3</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-20,233.5</w:t>
            </w:r>
          </w:p>
        </w:tc>
        <w:tc>
          <w:tcPr>
            <w:tcW w:type="dxa" w:w="68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directional</w:t>
            </w:r>
          </w:p>
        </w:tc>
        <w:tc>
          <w:tcPr>
            <w:tcW w:type="dxa" w:w="90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r>
          </w:p>
        </w:tc>
      </w:tr>
      <w:tr>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c>
          <w:tcPr>
            <w:tcW w:type="dxa" w:w="147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SeasonalNaive</w:t>
            </w:r>
          </w:p>
        </w:tc>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1.0383</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190.07</w:t>
            </w:r>
          </w:p>
        </w:tc>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98.53</w:t>
            </w:r>
          </w:p>
        </w:tc>
        <w:tc>
          <w:tcPr>
            <w:tcW w:type="dxa" w:w="10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40,658.2</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-13,187.3</w:t>
            </w:r>
          </w:p>
        </w:tc>
        <w:tc>
          <w:tcPr>
            <w:tcW w:type="dxa" w:w="68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directional</w:t>
            </w:r>
          </w:p>
        </w:tc>
        <w:tc>
          <w:tcPr>
            <w:tcW w:type="dxa" w:w="90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r>
          </w:p>
        </w:tc>
      </w:tr>
    </w:tbl>
    <w:p>
      <w:pPr>
        <w:spacing w:after="120"/>
      </w:pPr>
    </w:p>
    <w:tbl>
      <w:tblPr>
        <w:tblStyle w:val="TableGrid"/>
        <w:tblW w:type="auto" w:w="0"/>
        <w:jc w:val="center"/>
        <w:tblLayout w:type="autofit"/>
        <w:tblLook w:firstColumn="1" w:firstRow="1" w:lastColumn="0" w:lastRow="0" w:noHBand="0" w:noVBand="1" w:val="04A0"/>
      </w:tblPr>
      <w:tblGrid>
        <w:gridCol w:w="4706"/>
        <w:gridCol w:w="4706"/>
      </w:tblGrid>
      <w:tr>
        <w:tc>
          <w:tcPr>
            <w:tcW w:type="dxa" w:w="39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Selection audit item</w:t>
            </w:r>
          </w:p>
        </w:tc>
        <w:tc>
          <w:tcPr>
            <w:tcW w:type="dxa" w:w="56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Best by MASE (raw #1)</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Ensemble</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Best raw MASE</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0.9010</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Baseline SeasonalNaive MASE</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1.0383</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Baseline MovingAverage MASE</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0.9863</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Beat-baseline ε</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Selected after gate</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Ensemble</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Selection reason</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beats_baselines</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Δ MASE vs best baseline (MA)</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0.0853</w:t>
            </w:r>
          </w:p>
        </w:tc>
      </w:tr>
    </w:tbl>
    <w:p>
      <w:pPr>
        <w:spacing w:after="120"/>
      </w:pPr>
    </w:p>
    <w:p>
      <w:pPr>
        <w:spacing w:after="160" w:before="0" w:line="240" w:lineRule="auto"/>
      </w:pPr>
      <w:r>
        <w:rPr>
          <w:rFonts w:ascii="Calibri" w:hAnsi="Calibri" w:eastAsia="Calibri"/>
          <w:b w:val="0"/>
          <w:i w:val="0"/>
          <w:color w:val="334155"/>
          <w:sz w:val="22"/>
        </w:rPr>
        <w:t>On this capture, Ensemble wins on primary metric MASE=0.901 and passes the baseline gate (reason=beats_baselines). Absolute-level sMAPE remains high (188.6%), which the system honestly maps to a “directional” decision band: useful for direction and staffing envelopes, not day-exact quotas.</w:t>
      </w:r>
    </w:p>
    <w:p>
      <w:pPr>
        <w:pStyle w:val="Heading2"/>
        <w:spacing w:before="280" w:after="120"/>
      </w:pPr>
      <w:r>
        <w:rPr>
          <w:rFonts w:ascii="Calibri" w:hAnsi="Calibri" w:eastAsia="Calibri"/>
          <w:b/>
          <w:i w:val="0"/>
          <w:color w:val="0F766E"/>
          <w:sz w:val="26"/>
        </w:rPr>
        <w:t>5.3 Holdout backtest (secondary check)</w:t>
      </w:r>
    </w:p>
    <w:tbl>
      <w:tblPr>
        <w:tblStyle w:val="TableGrid"/>
        <w:tblW w:type="auto" w:w="0"/>
        <w:jc w:val="center"/>
        <w:tblLayout w:type="autofit"/>
        <w:tblLook w:firstColumn="1" w:firstRow="1" w:lastColumn="0" w:lastRow="0" w:noHBand="0" w:noVBand="1" w:val="04A0"/>
      </w:tblPr>
      <w:tblGrid>
        <w:gridCol w:w="4706"/>
        <w:gridCol w:w="4706"/>
      </w:tblGrid>
      <w:tr>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Holdout metric</w:t>
            </w:r>
          </w:p>
        </w:tc>
        <w:tc>
          <w:tcPr>
            <w:tcW w:type="dxa" w:w="6236"/>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Holdout days</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14</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Model</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Ensemble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MASE</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1.7586</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sMAPE %</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165.80</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MAPE %</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87.17</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RMSE</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48,340.9</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Mean actual / mean pred</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44,326.9 / 13,967.3</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Holdout decision band</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exploratory</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Status</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ok</w:t>
            </w:r>
          </w:p>
        </w:tc>
      </w:tr>
    </w:tbl>
    <w:p>
      <w:pPr>
        <w:spacing w:after="120"/>
      </w:pPr>
    </w:p>
    <w:p>
      <w:pPr>
        <w:spacing w:after="160" w:before="0" w:line="240" w:lineRule="auto"/>
      </w:pPr>
      <w:r>
        <w:rPr>
          <w:rFonts w:ascii="Calibri" w:hAnsi="Calibri" w:eastAsia="Calibri"/>
          <w:b w:val="0"/>
          <w:i w:val="0"/>
          <w:color w:val="334155"/>
          <w:sz w:val="22"/>
        </w:rPr>
        <w:t>Holdout metrics are reported separately from rolling CV used for selection. Divergence (e.g., exploratory holdout band while rolling remains directional) is an intentional transparency signal for operators reviewing recent regime shifts.</w:t>
      </w: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meta.backtest and meta.rolling on GET /api/forecast.</w:t>
      </w:r>
    </w:p>
    <w:p>
      <w:pPr>
        <w:pStyle w:val="Heading2"/>
        <w:spacing w:before="280" w:after="120"/>
      </w:pPr>
      <w:r>
        <w:rPr>
          <w:rFonts w:ascii="Calibri" w:hAnsi="Calibri" w:eastAsia="Calibri"/>
          <w:b/>
          <w:i w:val="0"/>
          <w:color w:val="0F766E"/>
          <w:sz w:val="26"/>
        </w:rPr>
        <w:t>5.4 Forecast path summary</w:t>
      </w:r>
    </w:p>
    <w:tbl>
      <w:tblPr>
        <w:tblStyle w:val="TableGrid"/>
        <w:tblW w:type="auto" w:w="0"/>
        <w:jc w:val="center"/>
        <w:tblLayout w:type="autofit"/>
        <w:tblLook w:firstColumn="1" w:firstRow="1" w:lastColumn="0" w:lastRow="0" w:noHBand="0" w:noVBand="1" w:val="04A0"/>
      </w:tblPr>
      <w:tblGrid>
        <w:gridCol w:w="4706"/>
        <w:gridCol w:w="4706"/>
      </w:tblGrid>
      <w:tr>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Path statistic</w:t>
            </w:r>
          </w:p>
        </w:tc>
        <w:tc>
          <w:tcPr>
            <w:tcW w:type="dxa" w:w="6236"/>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Horizon points</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30</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First day (pred)</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2026-01-01 · 48,631</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Last day (pred)</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2026-01-30 · 52,398</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Peak predicted (horizon)</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136,150</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Floor predicted (horizon)</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24,045</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Average daily predicted</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67,506</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Sum predicted (30d)</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2,025,172</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Path change (dashboard)</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7.75%</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Conformal half-width q</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125,432</w:t>
            </w:r>
          </w:p>
        </w:tc>
      </w:tr>
    </w:tbl>
    <w:p>
      <w:pPr>
        <w:spacing w:after="120"/>
      </w:pP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8 — PLACEHOLDER ]</w:t>
            </w:r>
          </w:p>
          <w:p>
            <w:pPr>
              <w:jc w:val="center"/>
            </w:pPr>
            <w:r>
              <w:rPr>
                <w:rFonts w:ascii="Calibri" w:hAnsi="Calibri" w:eastAsia="Calibri"/>
                <w:b/>
                <w:i w:val="0"/>
                <w:color w:val="1E3A5F"/>
                <w:sz w:val="22"/>
              </w:rPr>
              <w:t>Forecast path with conformal lower/upper bands</w:t>
            </w:r>
          </w:p>
          <w:p>
            <w:pPr>
              <w:jc w:val="center"/>
            </w:pPr>
            <w:r>
              <w:rPr>
                <w:rFonts w:ascii="Calibri" w:hAnsi="Calibri" w:eastAsia="Calibri"/>
                <w:b w:val="0"/>
                <w:i/>
                <w:color w:val="64748B"/>
                <w:sz w:val="16"/>
              </w:rPr>
              <w:t>Insert path: docs/figures/fig08_forecast_path.png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8. Placeholder — 30-day national enrolment forecast with uncertainty band.</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9 — PLACEHOLDER ]</w:t>
            </w:r>
          </w:p>
          <w:p>
            <w:pPr>
              <w:jc w:val="center"/>
            </w:pPr>
            <w:r>
              <w:rPr>
                <w:rFonts w:ascii="Calibri" w:hAnsi="Calibri" w:eastAsia="Calibri"/>
                <w:b/>
                <w:i w:val="0"/>
                <w:color w:val="1E3A5F"/>
                <w:sz w:val="22"/>
              </w:rPr>
              <w:t>Model selection charts (MASE rank + Δ vs baseline gate)</w:t>
            </w:r>
          </w:p>
          <w:p>
            <w:pPr>
              <w:jc w:val="center"/>
            </w:pPr>
            <w:r>
              <w:rPr>
                <w:rFonts w:ascii="Calibri" w:hAnsi="Calibri" w:eastAsia="Calibri"/>
                <w:b w:val="0"/>
                <w:i/>
                <w:color w:val="64748B"/>
                <w:sz w:val="16"/>
              </w:rPr>
              <w:t>Insert path: docs/figures/fig09_model_bakeoff.png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9. Placeholder — bake-off ranking and baseline-gate visualization.</w:t>
      </w:r>
    </w:p>
    <w:p>
      <w:pPr>
        <w:pStyle w:val="Heading2"/>
        <w:spacing w:before="280" w:after="120"/>
      </w:pPr>
      <w:r>
        <w:rPr>
          <w:rFonts w:ascii="Calibri" w:hAnsi="Calibri" w:eastAsia="Calibri"/>
          <w:b/>
          <w:i w:val="0"/>
          <w:color w:val="0F766E"/>
          <w:sz w:val="26"/>
        </w:rPr>
        <w:t>5.5 Resource planning outcomes</w:t>
      </w:r>
    </w:p>
    <w:p>
      <w:pPr>
        <w:spacing w:after="160" w:before="0" w:line="240" w:lineRule="auto"/>
      </w:pPr>
      <w:r>
        <w:rPr>
          <w:rFonts w:ascii="Calibri" w:hAnsi="Calibri" w:eastAsia="Calibri"/>
          <w:b w:val="0"/>
          <w:i w:val="0"/>
          <w:color w:val="334155"/>
          <w:sz w:val="22"/>
        </w:rPr>
        <w:t>Resource planning translates the forecast envelope into operator staffing at a configurable throughput (default 40 transactions per operator per day).</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1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Planning metric</w:t>
            </w:r>
          </w:p>
        </w:tc>
        <w:tc>
          <w:tcPr>
            <w:tcW w:type="dxa" w:w="226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c>
          <w:tcPr>
            <w:tcW w:type="dxa" w:w="425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Ops interpretation</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Peak daily enrolment (horizon)</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136,150</w:t>
            </w:r>
          </w:p>
        </w:tc>
        <w:tc>
          <w:tcPr>
            <w:tcW w:type="dxa" w:w="425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Upper staffing stress day</w:t>
            </w:r>
          </w:p>
        </w:tc>
      </w:tr>
      <w:tr>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Average daily enrolment (horizon)</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67,506</w:t>
            </w:r>
          </w:p>
        </w:tc>
        <w:tc>
          <w:tcPr>
            <w:tcW w:type="dxa" w:w="425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Steady-state roster</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Throughput assumption</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40 txn / operator / day</w:t>
            </w:r>
          </w:p>
        </w:tc>
        <w:tc>
          <w:tcPr>
            <w:tcW w:type="dxa" w:w="425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Configurable in UI</w:t>
            </w:r>
          </w:p>
        </w:tc>
      </w:tr>
      <w:tr>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Operators required at peak</w:t>
            </w:r>
          </w:p>
        </w:tc>
        <w:tc>
          <w:tcPr>
            <w:tcW w:type="dxa" w:w="226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3,404</w:t>
            </w:r>
          </w:p>
        </w:tc>
        <w:tc>
          <w:tcPr>
            <w:tcW w:type="dxa" w:w="425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ceil(peak / per_operator)</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Operators at average (derived)</w:t>
            </w:r>
          </w:p>
        </w:tc>
        <w:tc>
          <w:tcPr>
            <w:tcW w:type="dxa" w:w="226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1,688</w:t>
            </w:r>
          </w:p>
        </w:tc>
        <w:tc>
          <w:tcPr>
            <w:tcW w:type="dxa" w:w="425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Steady roster estimate</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resource_planning object on GET /api/forecast.</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10 — PLACEHOLDER ]</w:t>
            </w:r>
          </w:p>
          <w:p>
            <w:pPr>
              <w:jc w:val="center"/>
            </w:pPr>
            <w:r>
              <w:rPr>
                <w:rFonts w:ascii="Calibri" w:hAnsi="Calibri" w:eastAsia="Calibri"/>
                <w:b/>
                <w:i w:val="0"/>
                <w:color w:val="1E3A5F"/>
                <w:sz w:val="22"/>
              </w:rPr>
              <w:t>Resource planning view (peak vs average staffing)</w:t>
            </w:r>
          </w:p>
          <w:p>
            <w:pPr>
              <w:jc w:val="center"/>
            </w:pPr>
            <w:r>
              <w:rPr>
                <w:rFonts w:ascii="Calibri" w:hAnsi="Calibri" w:eastAsia="Calibri"/>
                <w:b w:val="0"/>
                <w:i/>
                <w:color w:val="64748B"/>
                <w:sz w:val="16"/>
              </w:rPr>
              <w:t>Insert path: docs/figures/fig10_resource_planning.png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10. Placeholder — operator requirement chart derived from forecast peak/average.</w:t>
      </w:r>
    </w:p>
    <w:p>
      <w:pPr>
        <w:pStyle w:val="Heading2"/>
        <w:spacing w:before="280" w:after="120"/>
      </w:pPr>
      <w:r>
        <w:rPr>
          <w:rFonts w:ascii="Calibri" w:hAnsi="Calibri" w:eastAsia="Calibri"/>
          <w:b/>
          <w:i w:val="0"/>
          <w:color w:val="0F766E"/>
          <w:sz w:val="26"/>
        </w:rPr>
        <w:t>5.6 Decision-band guidance (method → ops)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701"/>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Band</w:t>
            </w:r>
          </w:p>
        </w:tc>
        <w:tc>
          <w:tcPr>
            <w:tcW w:type="dxa" w:w="198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MASE guide</w:t>
            </w:r>
          </w:p>
        </w:tc>
        <w:tc>
          <w:tcPr>
            <w:tcW w:type="dxa" w:w="198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sMAPE guide</w:t>
            </w:r>
          </w:p>
        </w:tc>
        <w:tc>
          <w:tcPr>
            <w:tcW w:type="dxa" w:w="39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Recommended use</w:t>
            </w:r>
          </w:p>
        </w:tc>
      </w:tr>
      <w:tr>
        <w:tc>
          <w:tcPr>
            <w:tcW w:type="dxa" w:w="170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tight</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&lt; 0.85</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&lt; 20%</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Finer short-horizon planning</w:t>
            </w:r>
          </w:p>
        </w:tc>
      </w:tr>
      <w:tr>
        <w:tc>
          <w:tcPr>
            <w:tcW w:type="dxa" w:w="170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directional</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&lt; 1.15</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&lt; 40%</w:t>
            </w:r>
          </w:p>
        </w:tc>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Direction &amp; envelope (this run on rolling MASE)</w:t>
            </w:r>
          </w:p>
        </w:tc>
      </w:tr>
      <w:tr>
        <w:tc>
          <w:tcPr>
            <w:tcW w:type="dxa" w:w="170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exploratory</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 1.15</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 40%</w:t>
            </w:r>
          </w:p>
        </w:tc>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Monitor actuals closely; avoid hard quotas</w:t>
            </w:r>
          </w:p>
        </w:tc>
      </w:tr>
    </w:tbl>
    <w:p>
      <w:pPr>
        <w:spacing w:after="120"/>
      </w:pPr>
    </w:p>
    <w:p>
      <w:r>
        <w:br w:type="page"/>
      </w:r>
    </w:p>
    <w:p>
      <w:pPr>
        <w:pStyle w:val="Heading1"/>
        <w:spacing w:before="360" w:after="160"/>
      </w:pPr>
      <w:r>
        <w:rPr>
          <w:rFonts w:ascii="Calibri" w:hAnsi="Calibri" w:eastAsia="Calibri"/>
          <w:b/>
          <w:i w:val="0"/>
          <w:color w:val="1E3A5F"/>
          <w:sz w:val="32"/>
        </w:rPr>
        <w:t>6. Outcomes — LLM / Hybrid Insights</w:t>
      </w:r>
    </w:p>
    <w:p>
      <w:pPr>
        <w:spacing w:after="160" w:before="0" w:line="240" w:lineRule="auto"/>
      </w:pPr>
      <w:r>
        <w:rPr>
          <w:rFonts w:ascii="Calibri" w:hAnsi="Calibri" w:eastAsia="Calibri"/>
          <w:b w:val="0"/>
          <w:i w:val="0"/>
          <w:color w:val="334155"/>
          <w:sz w:val="22"/>
        </w:rPr>
        <w:t>Hybrid AI briefs separate measurement from narrative. The engine first materialises an evidence dictionary (KPIs, ranks, bake-off metrics). Deterministic Insights and Actions are drafted from that evidence; optional Ollama prose may rephrase but must not invent numbers. Key numbers remain engine-authored.</w:t>
      </w:r>
    </w:p>
    <w:p>
      <w:pPr>
        <w:pStyle w:val="Heading2"/>
        <w:spacing w:before="280" w:after="120"/>
      </w:pPr>
      <w:r>
        <w:rPr>
          <w:rFonts w:ascii="Calibri" w:hAnsi="Calibri" w:eastAsia="Calibri"/>
          <w:b/>
          <w:i w:val="0"/>
          <w:color w:val="0F766E"/>
          <w:sz w:val="26"/>
        </w:rPr>
        <w:t>6.1 Runtime status</w:t>
      </w:r>
    </w:p>
    <w:tbl>
      <w:tblPr>
        <w:tblStyle w:val="TableGrid"/>
        <w:tblW w:type="auto" w:w="0"/>
        <w:jc w:val="center"/>
        <w:tblLayout w:type="autofit"/>
        <w:tblLook w:firstColumn="1" w:firstRow="1" w:lastColumn="0" w:lastRow="0" w:noHBand="0" w:noVBand="1" w:val="04A0"/>
      </w:tblPr>
      <w:tblGrid>
        <w:gridCol w:w="4706"/>
        <w:gridCol w:w="4706"/>
      </w:tblGrid>
      <w:tr>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Item</w:t>
            </w:r>
          </w:p>
        </w:tc>
        <w:tc>
          <w:tcPr>
            <w:tcW w:type="dxa" w:w="6236"/>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Live value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LLM available</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True</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Model</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qwen2.5:latest</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Error</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None</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Dashboard insights endpoint</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GET /api/insights/dashboard</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 insights endpoint</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GET /api/insights/forecast</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Assembly mode (observed)</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hybrid · narrative by Ollama when available</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llm block on GET /api/meta; insight markdown on /api/insights/*.</w:t>
      </w:r>
    </w:p>
    <w:p>
      <w:pPr>
        <w:pStyle w:val="Heading2"/>
        <w:spacing w:before="280" w:after="120"/>
      </w:pPr>
      <w:r>
        <w:rPr>
          <w:rFonts w:ascii="Calibri" w:hAnsi="Calibri" w:eastAsia="Calibri"/>
          <w:b/>
          <w:i w:val="0"/>
          <w:color w:val="0F766E"/>
          <w:sz w:val="26"/>
        </w:rPr>
        <w:t>6.2 Dashboard brief — engine Key numbers (evidence-locked)</w:t>
      </w:r>
    </w:p>
    <w:tbl>
      <w:tblPr>
        <w:tblStyle w:val="TableGrid"/>
        <w:tblW w:type="auto" w:w="0"/>
        <w:jc w:val="center"/>
        <w:tblLayout w:type="autofit"/>
        <w:tblLook w:firstColumn="1" w:firstRow="1" w:lastColumn="0" w:lastRow="0" w:noHBand="0" w:noVBand="1" w:val="04A0"/>
      </w:tblPr>
      <w:tblGrid>
        <w:gridCol w:w="4706"/>
        <w:gridCol w:w="4706"/>
      </w:tblGrid>
      <w:tr>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Key number</w:t>
            </w:r>
          </w:p>
        </w:tc>
        <w:tc>
          <w:tcPr>
            <w:tcW w:type="dxa" w:w="6236"/>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Data as of</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2025-12-31</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Total enrolments</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5,435,484</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Biometric updates</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69,763,095</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Demographic updates</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49,295,185</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Bio per enrolment</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12.83</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Demo per enrolment</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9.07</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Anomaly count</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42</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Contamination / min volume</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0.05 / 50</w:t>
            </w:r>
          </w:p>
        </w:tc>
      </w:tr>
    </w:tbl>
    <w:p>
      <w:pPr>
        <w:spacing w:after="120"/>
      </w:pPr>
    </w:p>
    <w:p>
      <w:pPr>
        <w:pStyle w:val="Heading3"/>
        <w:spacing w:before="200" w:after="80"/>
      </w:pPr>
      <w:r>
        <w:rPr>
          <w:rFonts w:ascii="Calibri" w:hAnsi="Calibri" w:eastAsia="Calibri"/>
          <w:b/>
          <w:i w:val="0"/>
          <w:color w:val="334155"/>
          <w:sz w:val="22"/>
        </w:rPr>
        <w:t>6.2.1 Narrative excerpt (optional LLM layer)</w:t>
      </w:r>
    </w:p>
    <w:tbl>
      <w:tblPr>
        <w:tblW w:type="auto" w:w="0"/>
        <w:tblLook w:firstColumn="1" w:firstRow="1" w:lastColumn="0" w:lastRow="0" w:noHBand="0" w:noVBand="1" w:val="04A0"/>
      </w:tblPr>
      <w:tblGrid>
        <w:gridCol w:w="9412"/>
      </w:tblGrid>
      <w:tr>
        <w:tc>
          <w:tcPr>
            <w:tcW w:type="dxa" w:w="9412"/>
            <w:shd w:fill="F0FDFA" w:val="clear"/>
            <w:tcBorders>
              <w:top w:val="single" w:sz="8" w:space="0" w:color="0F766E"/>
              <w:left w:val="single" w:sz="8" w:space="0" w:color="0F766E"/>
              <w:bottom w:val="single" w:sz="8" w:space="0" w:color="0F766E"/>
              <w:right w:val="single" w:sz="8" w:space="0" w:color="0F766E"/>
            </w:tcBorders>
          </w:tcPr>
          <w:p>
            <w:r/>
            <w:r>
              <w:rPr>
                <w:rFonts w:ascii="Calibri" w:hAnsi="Calibri" w:eastAsia="Calibri"/>
                <w:b w:val="0"/>
                <w:i w:val="0"/>
                <w:color w:val="334155"/>
                <w:sz w:val="18"/>
              </w:rPr>
              <w:t>### AI analysis — Operations overview</w:t>
              <w:br/>
              <w:br/>
              <w:t>#### Insights</w:t>
              <w:br/>
              <w:t>- **Enrolments vs Updates**: Total enrolments are 5,435,484 with biometric updates (12.83 per enrolment) slightly higher than demographic updates (9.07 per enrolment).</w:t>
              <w:br/>
              <w:t>- **Anomalies and Contamination**: There are 42 flagged cells with a contamination rate of 5%, indicating some level of irregular activity.</w:t>
              <w:br/>
              <w:t>- **Top Risk Cells**:</w:t>
              <w:br/>
              <w:t>- **Eastern West Khasi Hills, Meghalaya**: High risk due to sharp recent growth/decline.</w:t>
              <w:br/>
              <w:t>- **East Khasi Hills, Meghalaya**: High risk because volume is far from the state median.</w:t>
              <w:br/>
              <w:br/>
              <w:t>#### Actions</w:t>
              <w:br/>
              <w:t>- **Review Eastern West Khasi Hills and East Khasi Hills, Meghalaya** first due to their high risk scores; investigate any recent policy changes or operational issues that might explain the sharp growth/decline.</w:t>
              <w:br/>
              <w:t>- **Monitor activity in Kamrup, Meghalaya**: Ensure there are no system glitches or operational errors causing i…</w:t>
            </w:r>
          </w:p>
        </w:tc>
      </w:tr>
    </w:tbl>
    <w:p>
      <w:pPr>
        <w:spacing w:after="120"/>
      </w:pPr>
    </w:p>
    <w:p>
      <w:pPr>
        <w:spacing w:after="240" w:before="40" w:line="240" w:lineRule="auto"/>
        <w:jc w:val="center"/>
      </w:pPr>
      <w:r>
        <w:rPr>
          <w:rFonts w:ascii="Calibri" w:hAnsi="Calibri" w:eastAsia="Calibri"/>
          <w:b w:val="0"/>
          <w:i/>
          <w:color w:val="64748B"/>
          <w:sz w:val="18"/>
        </w:rPr>
        <w:t>Excerpt from hybrid dashboard insight (live). Full text via GET /api/insights/dashboard.</w:t>
      </w:r>
    </w:p>
    <w:p>
      <w:pPr>
        <w:pStyle w:val="Heading2"/>
        <w:spacing w:before="280" w:after="120"/>
      </w:pPr>
      <w:r>
        <w:rPr>
          <w:rFonts w:ascii="Calibri" w:hAnsi="Calibri" w:eastAsia="Calibri"/>
          <w:b/>
          <w:i w:val="0"/>
          <w:color w:val="0F766E"/>
          <w:sz w:val="26"/>
        </w:rPr>
        <w:t>6.3 Forecast brief — engine Key numbers</w:t>
      </w:r>
    </w:p>
    <w:tbl>
      <w:tblPr>
        <w:tblStyle w:val="TableGrid"/>
        <w:tblW w:type="auto" w:w="0"/>
        <w:jc w:val="center"/>
        <w:tblLayout w:type="autofit"/>
        <w:tblLook w:firstColumn="1" w:firstRow="1" w:lastColumn="0" w:lastRow="0" w:noHBand="0" w:noVBand="1" w:val="04A0"/>
      </w:tblPr>
      <w:tblGrid>
        <w:gridCol w:w="4706"/>
        <w:gridCol w:w="4706"/>
      </w:tblGrid>
      <w:tr>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Key number</w:t>
            </w:r>
          </w:p>
        </w:tc>
        <w:tc>
          <w:tcPr>
            <w:tcW w:type="dxa" w:w="6236"/>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Selected model</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Ensemble</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Selection reason</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beats_baselines</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MASE / sMAPE</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0.901 / 188.6%</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Decision band</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directional</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Change % (30d path)</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7.75%</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Peak / floor</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136,150 / 24,045</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Conformal q</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125,432</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Train days / data end</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305 / 2025-12-31</w:t>
            </w:r>
          </w:p>
        </w:tc>
      </w:tr>
    </w:tbl>
    <w:p>
      <w:pPr>
        <w:spacing w:after="120"/>
      </w:pP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11 — PLACEHOLDER ]</w:t>
            </w:r>
          </w:p>
          <w:p>
            <w:pPr>
              <w:jc w:val="center"/>
            </w:pPr>
            <w:r>
              <w:rPr>
                <w:rFonts w:ascii="Calibri" w:hAnsi="Calibri" w:eastAsia="Calibri"/>
                <w:b/>
                <w:i w:val="0"/>
                <w:color w:val="1E3A5F"/>
                <w:sz w:val="22"/>
              </w:rPr>
              <w:t>AI panel screenshots (Dashboard + Forecast) showing Key numbers</w:t>
            </w:r>
          </w:p>
          <w:p>
            <w:pPr>
              <w:jc w:val="center"/>
            </w:pPr>
            <w:r>
              <w:rPr>
                <w:rFonts w:ascii="Calibri" w:hAnsi="Calibri" w:eastAsia="Calibri"/>
                <w:b w:val="0"/>
                <w:i/>
                <w:color w:val="64748B"/>
                <w:sz w:val="16"/>
              </w:rPr>
              <w:t>Insert path: docs/figures/fig11_ai_panels.png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11. Placeholder — hybrid AI panels with visible engine Key numbers.</w:t>
      </w:r>
    </w:p>
    <w:p>
      <w:pPr>
        <w:pStyle w:val="Heading2"/>
        <w:spacing w:before="280" w:after="120"/>
      </w:pPr>
      <w:r>
        <w:rPr>
          <w:rFonts w:ascii="Calibri" w:hAnsi="Calibri" w:eastAsia="Calibri"/>
          <w:b/>
          <w:i w:val="0"/>
          <w:color w:val="0F766E"/>
          <w:sz w:val="26"/>
        </w:rPr>
        <w:t>6.4 Outcome for operators</w:t>
      </w:r>
    </w:p>
    <w:p>
      <w:pPr>
        <w:pStyle w:val="ListBullet"/>
        <w:spacing w:after="60"/>
        <w:ind w:left="360"/>
      </w:pPr>
      <w:r>
        <w:rPr>
          <w:rFonts w:ascii="Calibri" w:hAnsi="Calibri" w:eastAsia="Calibri"/>
          <w:b w:val="0"/>
          <w:i w:val="0"/>
          <w:color w:val="334155"/>
          <w:sz w:val="22"/>
        </w:rPr>
        <w:t>Briefs reduce time-to-first-interpretation of dense KPI pages while keeping auditability: every bold metric can be traced to the engine table above.</w:t>
      </w:r>
    </w:p>
    <w:p>
      <w:pPr>
        <w:pStyle w:val="ListBullet"/>
        <w:spacing w:after="60"/>
        <w:ind w:left="360"/>
      </w:pPr>
      <w:r>
        <w:rPr>
          <w:rFonts w:ascii="Calibri" w:hAnsi="Calibri" w:eastAsia="Calibri"/>
          <w:b w:val="0"/>
          <w:i w:val="0"/>
          <w:color w:val="334155"/>
          <w:sz w:val="22"/>
        </w:rPr>
        <w:t>When Ollama is offline, the system still returns engine-only analysis — no silent empty state for critical ops numbers.</w:t>
      </w:r>
    </w:p>
    <w:p>
      <w:pPr>
        <w:pStyle w:val="ListBullet"/>
        <w:spacing w:after="60"/>
        <w:ind w:left="360"/>
      </w:pPr>
      <w:r>
        <w:rPr>
          <w:rFonts w:ascii="Calibri" w:hAnsi="Calibri" w:eastAsia="Calibri"/>
          <w:b w:val="0"/>
          <w:i w:val="0"/>
          <w:color w:val="334155"/>
          <w:sz w:val="22"/>
        </w:rPr>
        <w:t>Caveats are injected into the brief (unsupervised risk; directional forecasts), reducing over-trust risk in journal or ops review settings.</w:t>
      </w:r>
    </w:p>
    <w:p>
      <w:r>
        <w:br w:type="page"/>
      </w:r>
    </w:p>
    <w:p>
      <w:pPr>
        <w:pStyle w:val="Heading1"/>
        <w:spacing w:before="360" w:after="160"/>
      </w:pPr>
      <w:r>
        <w:rPr>
          <w:rFonts w:ascii="Calibri" w:hAnsi="Calibri" w:eastAsia="Calibri"/>
          <w:b/>
          <w:i w:val="0"/>
          <w:color w:val="1E3A5F"/>
          <w:sz w:val="32"/>
        </w:rPr>
        <w:t>7. Outcomes — Live Operator Web Application</w:t>
      </w:r>
    </w:p>
    <w:p>
      <w:pPr>
        <w:spacing w:after="160" w:before="0" w:line="240" w:lineRule="auto"/>
      </w:pPr>
      <w:r>
        <w:rPr>
          <w:rFonts w:ascii="Calibri" w:hAnsi="Calibri" w:eastAsia="Calibri"/>
          <w:b w:val="0"/>
          <w:i w:val="0"/>
          <w:color w:val="334155"/>
          <w:sz w:val="22"/>
        </w:rPr>
        <w:t>A primary project focus is the professional operator web application: a React (Vite) SPA served with a FastAPI backend that reuses the same DataLoader, AnalyticsEngine, ForecastBackend, geo repair, and governance store as the Streamlit research UI. Feature parity is documented in web/FEATURE_PARITY.md.</w:t>
      </w:r>
    </w:p>
    <w:p>
      <w:pPr>
        <w:pStyle w:val="Heading2"/>
        <w:spacing w:before="280" w:after="120"/>
      </w:pPr>
      <w:r>
        <w:rPr>
          <w:rFonts w:ascii="Calibri" w:hAnsi="Calibri" w:eastAsia="Calibri"/>
          <w:b/>
          <w:i w:val="0"/>
          <w:color w:val="0F766E"/>
          <w:sz w:val="26"/>
        </w:rPr>
        <w:t>7.1 Deployment evidence (this capture)</w:t>
      </w:r>
    </w:p>
    <w:tbl>
      <w:tblPr>
        <w:tblStyle w:val="TableGrid"/>
        <w:tblW w:type="auto" w:w="0"/>
        <w:jc w:val="center"/>
        <w:tblLayout w:type="autofit"/>
        <w:tblLook w:firstColumn="1" w:firstRow="1" w:lastColumn="0" w:lastRow="0" w:noHBand="0" w:noVBand="1" w:val="04A0"/>
      </w:tblPr>
      <w:tblGrid>
        <w:gridCol w:w="4706"/>
        <w:gridCol w:w="4706"/>
      </w:tblGrid>
      <w:tr>
        <w:tc>
          <w:tcPr>
            <w:tcW w:type="dxa" w:w="283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Check</w:t>
            </w:r>
          </w:p>
        </w:tc>
        <w:tc>
          <w:tcPr>
            <w:tcW w:type="dxa" w:w="6803"/>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Result</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Base URL</w:t>
            </w:r>
          </w:p>
        </w:tc>
        <w:tc>
          <w:tcPr>
            <w:tcW w:type="dxa" w:w="6803"/>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http://127.0.0.1:8787</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HTTP health</w:t>
            </w:r>
          </w:p>
        </w:tc>
        <w:tc>
          <w:tcPr>
            <w:tcW w:type="dxa" w:w="6803"/>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ok=true, ready=true, source=cache</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API version</w:t>
            </w:r>
          </w:p>
        </w:tc>
        <w:tc>
          <w:tcPr>
            <w:tcW w:type="dxa" w:w="6803"/>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Aadhaar Intel Engine API 2.0.0</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Frontend</w:t>
            </w:r>
          </w:p>
        </w:tc>
        <w:tc>
          <w:tcPr>
            <w:tcW w:type="dxa" w:w="6803"/>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Static SPA from web/frontend/dist mounted by FastAPI</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Data window</w:t>
            </w:r>
          </w:p>
        </w:tc>
        <w:tc>
          <w:tcPr>
            <w:tcW w:type="dxa" w:w="6803"/>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2025-03-02 → 2025-12-31</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States in filter</w:t>
            </w:r>
          </w:p>
        </w:tc>
        <w:tc>
          <w:tcPr>
            <w:tcW w:type="dxa" w:w="6803"/>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36</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Launch</w:t>
            </w:r>
          </w:p>
        </w:tc>
        <w:tc>
          <w:tcPr>
            <w:tcW w:type="dxa" w:w="6803"/>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python run_web.py (optional --skip-build)</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GET /api/health, OpenAPI /docs, live HTML shell at /.</w:t>
      </w:r>
    </w:p>
    <w:p>
      <w:pPr>
        <w:pStyle w:val="Heading2"/>
        <w:spacing w:before="280" w:after="120"/>
      </w:pPr>
      <w:r>
        <w:rPr>
          <w:rFonts w:ascii="Calibri" w:hAnsi="Calibri" w:eastAsia="Calibri"/>
          <w:b/>
          <w:i w:val="0"/>
          <w:color w:val="0F766E"/>
          <w:sz w:val="26"/>
        </w:rPr>
        <w:t>7.2 Module outcomes (operator journeys)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701"/>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Module</w:t>
            </w:r>
          </w:p>
        </w:tc>
        <w:tc>
          <w:tcPr>
            <w:tcW w:type="dxa" w:w="425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Operator value</w:t>
            </w:r>
          </w:p>
        </w:tc>
        <w:tc>
          <w:tcPr>
            <w:tcW w:type="dxa" w:w="368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Live evidence</w:t>
            </w:r>
          </w:p>
        </w:tc>
      </w:tr>
      <w:tr>
        <w:tc>
          <w:tcPr>
            <w:tcW w:type="dxa" w:w="170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Dashboard</w:t>
            </w:r>
          </w:p>
        </w:tc>
        <w:tc>
          <w:tcPr>
            <w:tcW w:type="dxa" w:w="425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KPI strip, workload/age mix, risk queue, 30-day outlook, AI brief</w:t>
            </w:r>
          </w:p>
        </w:tc>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/api/dashboard · /api/insights/dashboard</w:t>
            </w:r>
          </w:p>
        </w:tc>
      </w:tr>
      <w:tr>
        <w:tc>
          <w:tcPr>
            <w:tcW w:type="dxa" w:w="170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Analytics</w:t>
            </w:r>
          </w:p>
        </w:tc>
        <w:tc>
          <w:tcPr>
            <w:tcW w:type="dxa" w:w="425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Deep dive: state ranks, scatter, radar, watchlist, CSV exports</w:t>
            </w:r>
          </w:p>
        </w:tc>
        <w:tc>
          <w:tcPr>
            <w:tcW w:type="dxa" w:w="368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/api/analytics · export routes</w:t>
            </w:r>
          </w:p>
        </w:tc>
      </w:tr>
      <w:tr>
        <w:tc>
          <w:tcPr>
            <w:tcW w:type="dxa" w:w="170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w:t>
            </w:r>
          </w:p>
        </w:tc>
        <w:tc>
          <w:tcPr>
            <w:tcW w:type="dxa" w:w="425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Bake-off, conformal path, resource planning, per-state scope, AI brief</w:t>
            </w:r>
          </w:p>
        </w:tc>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/api/forecast · resource_planning</w:t>
            </w:r>
          </w:p>
        </w:tc>
      </w:tr>
      <w:tr>
        <w:tc>
          <w:tcPr>
            <w:tcW w:type="dxa" w:w="170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Geospatial</w:t>
            </w:r>
          </w:p>
        </w:tc>
        <w:tc>
          <w:tcPr>
            <w:tcW w:type="dxa" w:w="425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2D/heatmap/3D intensity, centroids, hotspot KPIs, CSV exports</w:t>
            </w:r>
          </w:p>
        </w:tc>
        <w:tc>
          <w:tcPr>
            <w:tcW w:type="dxa" w:w="368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/api/map · /api/geojson</w:t>
            </w:r>
          </w:p>
        </w:tc>
      </w:tr>
      <w:tr>
        <w:tc>
          <w:tcPr>
            <w:tcW w:type="dxa" w:w="170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Governance</w:t>
            </w:r>
          </w:p>
        </w:tc>
        <w:tc>
          <w:tcPr>
            <w:tcW w:type="dxa" w:w="425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Merge/delete/ignore, audit/revert, pack import-export</w:t>
            </w:r>
          </w:p>
        </w:tc>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/api/governance*</w:t>
            </w:r>
          </w:p>
        </w:tc>
      </w:tr>
    </w:tbl>
    <w:p>
      <w:pPr>
        <w:spacing w:after="120"/>
      </w:pPr>
    </w:p>
    <w:p>
      <w:pPr>
        <w:pStyle w:val="Heading2"/>
        <w:spacing w:before="280" w:after="120"/>
      </w:pPr>
      <w:r>
        <w:rPr>
          <w:rFonts w:ascii="Calibri" w:hAnsi="Calibri" w:eastAsia="Calibri"/>
          <w:b/>
          <w:i w:val="0"/>
          <w:color w:val="0F766E"/>
          <w:sz w:val="26"/>
        </w:rPr>
        <w:t>7.3 Operational KPI strip (Dashboard)</w:t>
      </w:r>
    </w:p>
    <w:tbl>
      <w:tblPr>
        <w:tblStyle w:val="TableGrid"/>
        <w:tblW w:type="auto" w:w="0"/>
        <w:jc w:val="center"/>
        <w:tblLayout w:type="autofit"/>
        <w:tblLook w:firstColumn="1" w:firstRow="1" w:lastColumn="0" w:lastRow="0" w:noHBand="0" w:noVBand="1" w:val="04A0"/>
      </w:tblPr>
      <w:tblGrid>
        <w:gridCol w:w="4706"/>
        <w:gridCol w:w="4706"/>
      </w:tblGrid>
      <w:tr>
        <w:tc>
          <w:tcPr>
            <w:tcW w:type="dxa" w:w="39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KPI</w:t>
            </w:r>
          </w:p>
        </w:tc>
        <w:tc>
          <w:tcPr>
            <w:tcW w:type="dxa" w:w="56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Total enrolments</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5,435,484</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Adult (18+) enrolments</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168,136</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Biometric updates</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69,763,095</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Demographic updates</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49,295,185</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Active states</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36</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Active districts</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861</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Risk cells flagged</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42</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 model / band</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Ensemble / directional</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 growth (30d)</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7.75%</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Rolling MASE / sMAPE</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0.901 / 188.6%</w:t>
            </w:r>
          </w:p>
        </w:tc>
      </w:tr>
    </w:tbl>
    <w:p>
      <w:pPr>
        <w:spacing w:after="120"/>
      </w:pPr>
    </w:p>
    <w:p>
      <w:pPr>
        <w:pStyle w:val="Heading3"/>
        <w:spacing w:before="200" w:after="80"/>
      </w:pPr>
      <w:r>
        <w:rPr>
          <w:rFonts w:ascii="Calibri" w:hAnsi="Calibri" w:eastAsia="Calibri"/>
          <w:b/>
          <w:i w:val="0"/>
          <w:color w:val="334155"/>
          <w:sz w:val="22"/>
        </w:rPr>
        <w:t>7.3.1 Age structure of enrolments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83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Age band</w:t>
            </w:r>
          </w:p>
        </w:tc>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Enrolments</w:t>
            </w:r>
          </w:p>
        </w:tc>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Share</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0–5</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3,546,965</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65.3%</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5–17</w:t>
            </w:r>
          </w:p>
        </w:tc>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1,720,383</w:t>
            </w:r>
          </w:p>
        </w:tc>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31.7%</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18+</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168,136</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3.1%</w:t>
            </w:r>
          </w:p>
        </w:tc>
      </w:tr>
    </w:tbl>
    <w:p>
      <w:pPr>
        <w:spacing w:after="120"/>
      </w:pPr>
    </w:p>
    <w:p>
      <w:pPr>
        <w:pStyle w:val="Heading3"/>
        <w:spacing w:before="200" w:after="80"/>
      </w:pPr>
      <w:r>
        <w:rPr>
          <w:rFonts w:ascii="Calibri" w:hAnsi="Calibri" w:eastAsia="Calibri"/>
          <w:b/>
          <w:i w:val="0"/>
          <w:color w:val="334155"/>
          <w:sz w:val="22"/>
        </w:rPr>
        <w:t>7.3.2 Workload mix</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1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Stream</w:t>
            </w:r>
          </w:p>
        </w:tc>
        <w:tc>
          <w:tcPr>
            <w:tcW w:type="dxa" w:w="311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Volume</w:t>
            </w:r>
          </w:p>
        </w:tc>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Per enrolment</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Enrolments</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5,435,484</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1.00</w:t>
            </w:r>
          </w:p>
        </w:tc>
      </w:tr>
      <w:tr>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Biometric updates</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69,763,095</w:t>
            </w:r>
          </w:p>
        </w:tc>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12.83</w:t>
            </w:r>
          </w:p>
        </w:tc>
      </w:tr>
      <w:tr>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Demographic updates</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49,295,185</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9.07</w:t>
            </w:r>
          </w:p>
        </w:tc>
      </w:tr>
    </w:tbl>
    <w:p>
      <w:pPr>
        <w:spacing w:after="120"/>
      </w:pPr>
    </w:p>
    <w:p>
      <w:pPr>
        <w:pStyle w:val="Heading3"/>
        <w:spacing w:before="200" w:after="80"/>
      </w:pPr>
      <w:r>
        <w:rPr>
          <w:rFonts w:ascii="Calibri" w:hAnsi="Calibri" w:eastAsia="Calibri"/>
          <w:b/>
          <w:i w:val="0"/>
          <w:color w:val="334155"/>
          <w:sz w:val="22"/>
        </w:rPr>
        <w:t>7.3.3 Top states by enrolment volume</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13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Rank</w:t>
            </w:r>
          </w:p>
        </w:tc>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State</w:t>
            </w:r>
          </w:p>
        </w:tc>
        <w:tc>
          <w:tcPr>
            <w:tcW w:type="dxa" w:w="2551"/>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Volume</w:t>
            </w:r>
          </w:p>
        </w:tc>
        <w:tc>
          <w:tcPr>
            <w:tcW w:type="dxa" w:w="2551"/>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Share of national</w:t>
            </w:r>
          </w:p>
        </w:tc>
      </w:tr>
      <w:tr>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Uttar Pradesh</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1,018,629</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18.74%</w:t>
            </w:r>
          </w:p>
        </w:tc>
      </w:tr>
      <w:tr>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Bihar</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609,585</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11.21%</w:t>
            </w:r>
          </w:p>
        </w:tc>
      </w:tr>
      <w:tr>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Madhya Pradesh</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493,970</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9.09%</w:t>
            </w:r>
          </w:p>
        </w:tc>
      </w:tr>
      <w:tr>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West Bengal</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375,340</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6.91%</w:t>
            </w:r>
          </w:p>
        </w:tc>
      </w:tr>
      <w:tr>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Maharashtra</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369,139</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6.79%</w:t>
            </w:r>
          </w:p>
        </w:tc>
      </w:tr>
      <w:tr>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w:t>
            </w:r>
          </w:p>
        </w:tc>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Rajasthan</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348,458</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6.41%</w:t>
            </w:r>
          </w:p>
        </w:tc>
      </w:tr>
      <w:tr>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Gujarat</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280,549</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5.16%</w:t>
            </w:r>
          </w:p>
        </w:tc>
      </w:tr>
      <w:tr>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w:t>
            </w:r>
          </w:p>
        </w:tc>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Assam</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230,197</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4.24%</w:t>
            </w:r>
          </w:p>
        </w:tc>
      </w:tr>
      <w:tr>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w:t>
            </w:r>
          </w:p>
        </w:tc>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Karnataka</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223,235</w:t>
            </w:r>
          </w:p>
        </w:tc>
        <w:tc>
          <w:tcPr>
            <w:tcW w:type="dxa" w:w="255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4.11%</w:t>
            </w:r>
          </w:p>
        </w:tc>
      </w:tr>
      <w:tr>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w:t>
            </w:r>
          </w:p>
        </w:tc>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Tamil Nadu</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220,789</w:t>
            </w:r>
          </w:p>
        </w:tc>
        <w:tc>
          <w:tcPr>
            <w:tcW w:type="dxa" w:w="255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4.06%</w:t>
            </w:r>
          </w:p>
        </w:tc>
      </w:tr>
    </w:tbl>
    <w:p>
      <w:pPr>
        <w:spacing w:after="120"/>
      </w:pP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12 — PLACEHOLDER ]</w:t>
            </w:r>
          </w:p>
          <w:p>
            <w:pPr>
              <w:jc w:val="center"/>
            </w:pPr>
            <w:r>
              <w:rPr>
                <w:rFonts w:ascii="Calibri" w:hAnsi="Calibri" w:eastAsia="Calibri"/>
                <w:b/>
                <w:i w:val="0"/>
                <w:color w:val="1E3A5F"/>
                <w:sz w:val="22"/>
              </w:rPr>
              <w:t>Dashboard homepage screenshot (KPI strip + charts)</w:t>
            </w:r>
          </w:p>
          <w:p>
            <w:pPr>
              <w:jc w:val="center"/>
            </w:pPr>
            <w:r>
              <w:rPr>
                <w:rFonts w:ascii="Calibri" w:hAnsi="Calibri" w:eastAsia="Calibri"/>
                <w:b w:val="0"/>
                <w:i/>
                <w:color w:val="64748B"/>
                <w:sz w:val="16"/>
              </w:rPr>
              <w:t>Insert path: docs/figures/fig12_dashboard.png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12. Placeholder — operator Dashboard as served on the live web app.</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13 — PLACEHOLDER ]</w:t>
            </w:r>
          </w:p>
          <w:p>
            <w:pPr>
              <w:jc w:val="center"/>
            </w:pPr>
            <w:r>
              <w:rPr>
                <w:rFonts w:ascii="Calibri" w:hAnsi="Calibri" w:eastAsia="Calibri"/>
                <w:b/>
                <w:i w:val="0"/>
                <w:color w:val="1E3A5F"/>
                <w:sz w:val="22"/>
              </w:rPr>
              <w:t>Analytics page screenshot (risk + regional deep dive)</w:t>
            </w:r>
          </w:p>
          <w:p>
            <w:pPr>
              <w:jc w:val="center"/>
            </w:pPr>
            <w:r>
              <w:rPr>
                <w:rFonts w:ascii="Calibri" w:hAnsi="Calibri" w:eastAsia="Calibri"/>
                <w:b w:val="0"/>
                <w:i/>
                <w:color w:val="64748B"/>
                <w:sz w:val="16"/>
              </w:rPr>
              <w:t>Insert path: docs/figures/fig13_analytics.png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13. Placeholder — Analytics investigation workspace.</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14 — PLACEHOLDER ]</w:t>
            </w:r>
          </w:p>
          <w:p>
            <w:pPr>
              <w:jc w:val="center"/>
            </w:pPr>
            <w:r>
              <w:rPr>
                <w:rFonts w:ascii="Calibri" w:hAnsi="Calibri" w:eastAsia="Calibri"/>
                <w:b/>
                <w:i w:val="0"/>
                <w:color w:val="1E3A5F"/>
                <w:sz w:val="22"/>
              </w:rPr>
              <w:t>Forecast page screenshot (path, bake-off, resource planning)</w:t>
            </w:r>
          </w:p>
          <w:p>
            <w:pPr>
              <w:jc w:val="center"/>
            </w:pPr>
            <w:r>
              <w:rPr>
                <w:rFonts w:ascii="Calibri" w:hAnsi="Calibri" w:eastAsia="Calibri"/>
                <w:b w:val="0"/>
                <w:i/>
                <w:color w:val="64748B"/>
                <w:sz w:val="16"/>
              </w:rPr>
              <w:t>Insert path: docs/figures/fig14_forecast_ui.png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14. Placeholder — Forecast module with model comparison.</w:t>
      </w:r>
    </w:p>
    <w:p>
      <w:pPr>
        <w:pStyle w:val="Heading2"/>
        <w:spacing w:before="280" w:after="120"/>
      </w:pPr>
      <w:r>
        <w:rPr>
          <w:rFonts w:ascii="Calibri" w:hAnsi="Calibri" w:eastAsia="Calibri"/>
          <w:b/>
          <w:i w:val="0"/>
          <w:color w:val="0F766E"/>
          <w:sz w:val="26"/>
        </w:rPr>
        <w:t>7.4 Geospatial outcomes</w:t>
      </w:r>
    </w:p>
    <w:tbl>
      <w:tblPr>
        <w:tblStyle w:val="TableGrid"/>
        <w:tblW w:type="auto" w:w="0"/>
        <w:jc w:val="center"/>
        <w:tblLayout w:type="autofit"/>
        <w:tblLook w:firstColumn="1" w:firstRow="1" w:lastColumn="0" w:lastRow="0" w:noHBand="0" w:noVBand="1" w:val="04A0"/>
      </w:tblPr>
      <w:tblGrid>
        <w:gridCol w:w="4706"/>
        <w:gridCol w:w="4706"/>
      </w:tblGrid>
      <w:tr>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Map metric</w:t>
            </w:r>
          </w:p>
        </w:tc>
        <w:tc>
          <w:tcPr>
            <w:tcW w:type="dxa" w:w="6236"/>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Mapped points</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872</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Districts / states (KPI)</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861 / 36</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Visible volume</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5,435,484</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Hotspot district</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North 24 Parganas</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Average district volume</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6,233.4</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High-intensity share %</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26.2</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Mode / scale / depth</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2d / log / all</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Centroid sources</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state=819, district=53</w:t>
            </w:r>
          </w:p>
        </w:tc>
      </w:tr>
    </w:tbl>
    <w:p>
      <w:pPr>
        <w:spacing w:after="120"/>
      </w:pP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c>
          <w:tcPr>
            <w:tcW w:type="dxa" w:w="737"/>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Rank</w:t>
            </w:r>
          </w:p>
        </w:tc>
        <w:tc>
          <w:tcPr>
            <w:tcW w:type="dxa" w:w="1701"/>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State</w:t>
            </w:r>
          </w:p>
        </w:tc>
        <w:tc>
          <w:tcPr>
            <w:tcW w:type="dxa" w:w="198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District</w:t>
            </w:r>
          </w:p>
        </w:tc>
        <w:tc>
          <w:tcPr>
            <w:tcW w:type="dxa" w:w="1247"/>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Volume</w:t>
            </w:r>
          </w:p>
        </w:tc>
        <w:tc>
          <w:tcPr>
            <w:tcW w:type="dxa" w:w="102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Share %</w:t>
            </w:r>
          </w:p>
        </w:tc>
        <w:tc>
          <w:tcPr>
            <w:tcW w:type="dxa" w:w="1134"/>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Intensity</w:t>
            </w:r>
          </w:p>
        </w:tc>
        <w:tc>
          <w:tcPr>
            <w:tcW w:type="dxa" w:w="1247"/>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Centroid</w:t>
            </w:r>
          </w:p>
        </w:tc>
      </w:tr>
      <w:tr>
        <w:tc>
          <w:tcPr>
            <w:tcW w:type="dxa" w:w="73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w:t>
            </w:r>
          </w:p>
        </w:tc>
        <w:tc>
          <w:tcPr>
            <w:tcW w:type="dxa" w:w="170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West Bengal</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North 24 Parganas</w:t>
            </w:r>
          </w:p>
        </w:tc>
        <w:tc>
          <w:tcPr>
            <w:tcW w:type="dxa" w:w="124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62,148</w:t>
            </w:r>
          </w:p>
        </w:tc>
        <w:tc>
          <w:tcPr>
            <w:tcW w:type="dxa" w:w="10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1.14%</w:t>
            </w:r>
          </w:p>
        </w:tc>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w:t>
            </w:r>
          </w:p>
        </w:tc>
        <w:tc>
          <w:tcPr>
            <w:tcW w:type="dxa" w:w="124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w:t>
            </w:r>
          </w:p>
        </w:tc>
      </w:tr>
      <w:tr>
        <w:tc>
          <w:tcPr>
            <w:tcW w:type="dxa" w:w="73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c>
          <w:tcPr>
            <w:tcW w:type="dxa" w:w="170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Karnataka</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Bengaluru Urban</w:t>
            </w:r>
          </w:p>
        </w:tc>
        <w:tc>
          <w:tcPr>
            <w:tcW w:type="dxa" w:w="124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61,070</w:t>
            </w:r>
          </w:p>
        </w:tc>
        <w:tc>
          <w:tcPr>
            <w:tcW w:type="dxa" w:w="10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1.12%</w:t>
            </w:r>
          </w:p>
        </w:tc>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w:t>
            </w:r>
          </w:p>
        </w:tc>
        <w:tc>
          <w:tcPr>
            <w:tcW w:type="dxa" w:w="124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w:t>
            </w:r>
          </w:p>
        </w:tc>
      </w:tr>
      <w:tr>
        <w:tc>
          <w:tcPr>
            <w:tcW w:type="dxa" w:w="73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w:t>
            </w:r>
          </w:p>
        </w:tc>
        <w:tc>
          <w:tcPr>
            <w:tcW w:type="dxa" w:w="170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Meghalaya</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East Khasi Hills</w:t>
            </w:r>
          </w:p>
        </w:tc>
        <w:tc>
          <w:tcPr>
            <w:tcW w:type="dxa" w:w="124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44,710</w:t>
            </w:r>
          </w:p>
        </w:tc>
        <w:tc>
          <w:tcPr>
            <w:tcW w:type="dxa" w:w="10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0.82%</w:t>
            </w:r>
          </w:p>
        </w:tc>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w:t>
            </w:r>
          </w:p>
        </w:tc>
        <w:tc>
          <w:tcPr>
            <w:tcW w:type="dxa" w:w="124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w:t>
            </w:r>
          </w:p>
        </w:tc>
      </w:tr>
      <w:tr>
        <w:tc>
          <w:tcPr>
            <w:tcW w:type="dxa" w:w="73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c>
          <w:tcPr>
            <w:tcW w:type="dxa" w:w="170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Maharashtra</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Thane</w:t>
            </w:r>
          </w:p>
        </w:tc>
        <w:tc>
          <w:tcPr>
            <w:tcW w:type="dxa" w:w="124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43,688</w:t>
            </w:r>
          </w:p>
        </w:tc>
        <w:tc>
          <w:tcPr>
            <w:tcW w:type="dxa" w:w="10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0.80%</w:t>
            </w:r>
          </w:p>
        </w:tc>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w:t>
            </w:r>
          </w:p>
        </w:tc>
        <w:tc>
          <w:tcPr>
            <w:tcW w:type="dxa" w:w="124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w:t>
            </w:r>
          </w:p>
        </w:tc>
      </w:tr>
      <w:tr>
        <w:tc>
          <w:tcPr>
            <w:tcW w:type="dxa" w:w="73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w:t>
            </w:r>
          </w:p>
        </w:tc>
        <w:tc>
          <w:tcPr>
            <w:tcW w:type="dxa" w:w="170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Bihar</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Sitamarhi</w:t>
            </w:r>
          </w:p>
        </w:tc>
        <w:tc>
          <w:tcPr>
            <w:tcW w:type="dxa" w:w="124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42,232</w:t>
            </w:r>
          </w:p>
        </w:tc>
        <w:tc>
          <w:tcPr>
            <w:tcW w:type="dxa" w:w="10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0.78%</w:t>
            </w:r>
          </w:p>
        </w:tc>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w:t>
            </w:r>
          </w:p>
        </w:tc>
        <w:tc>
          <w:tcPr>
            <w:tcW w:type="dxa" w:w="124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w:t>
            </w:r>
          </w:p>
        </w:tc>
      </w:tr>
      <w:tr>
        <w:tc>
          <w:tcPr>
            <w:tcW w:type="dxa" w:w="73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w:t>
            </w:r>
          </w:p>
        </w:tc>
        <w:tc>
          <w:tcPr>
            <w:tcW w:type="dxa" w:w="170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Uttar Pradesh</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Bahraich</w:t>
            </w:r>
          </w:p>
        </w:tc>
        <w:tc>
          <w:tcPr>
            <w:tcW w:type="dxa" w:w="124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39,338</w:t>
            </w:r>
          </w:p>
        </w:tc>
        <w:tc>
          <w:tcPr>
            <w:tcW w:type="dxa" w:w="10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0.72%</w:t>
            </w:r>
          </w:p>
        </w:tc>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w:t>
            </w:r>
          </w:p>
        </w:tc>
        <w:tc>
          <w:tcPr>
            <w:tcW w:type="dxa" w:w="124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w:t>
            </w:r>
          </w:p>
        </w:tc>
      </w:tr>
      <w:tr>
        <w:tc>
          <w:tcPr>
            <w:tcW w:type="dxa" w:w="73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w:t>
            </w:r>
          </w:p>
        </w:tc>
        <w:tc>
          <w:tcPr>
            <w:tcW w:type="dxa" w:w="1701"/>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West Bengal</w:t>
            </w:r>
          </w:p>
        </w:tc>
        <w:tc>
          <w:tcPr>
            <w:tcW w:type="dxa" w:w="198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Murshidabad</w:t>
            </w:r>
          </w:p>
        </w:tc>
        <w:tc>
          <w:tcPr>
            <w:tcW w:type="dxa" w:w="124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35,911</w:t>
            </w:r>
          </w:p>
        </w:tc>
        <w:tc>
          <w:tcPr>
            <w:tcW w:type="dxa" w:w="102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0.66%</w:t>
            </w:r>
          </w:p>
        </w:tc>
        <w:tc>
          <w:tcPr>
            <w:tcW w:type="dxa" w:w="1134"/>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w:t>
            </w:r>
          </w:p>
        </w:tc>
        <w:tc>
          <w:tcPr>
            <w:tcW w:type="dxa" w:w="1247"/>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w:t>
            </w:r>
          </w:p>
        </w:tc>
      </w:tr>
      <w:tr>
        <w:tc>
          <w:tcPr>
            <w:tcW w:type="dxa" w:w="73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w:t>
            </w:r>
          </w:p>
        </w:tc>
        <w:tc>
          <w:tcPr>
            <w:tcW w:type="dxa" w:w="1701"/>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Maharashtra</w:t>
            </w:r>
          </w:p>
        </w:tc>
        <w:tc>
          <w:tcPr>
            <w:tcW w:type="dxa" w:w="198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Pune</w:t>
            </w:r>
          </w:p>
        </w:tc>
        <w:tc>
          <w:tcPr>
            <w:tcW w:type="dxa" w:w="124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31,763</w:t>
            </w:r>
          </w:p>
        </w:tc>
        <w:tc>
          <w:tcPr>
            <w:tcW w:type="dxa" w:w="102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0.58%</w:t>
            </w:r>
          </w:p>
        </w:tc>
        <w:tc>
          <w:tcPr>
            <w:tcW w:type="dxa" w:w="1134"/>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w:t>
            </w:r>
          </w:p>
        </w:tc>
        <w:tc>
          <w:tcPr>
            <w:tcW w:type="dxa" w:w="1247"/>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district</w:t>
            </w:r>
          </w:p>
        </w:tc>
      </w:tr>
    </w:tbl>
    <w:p>
      <w:pPr>
        <w:spacing w:after="120"/>
      </w:pPr>
    </w:p>
    <w:p>
      <w:pPr>
        <w:spacing w:after="200" w:before="40" w:line="240" w:lineRule="auto"/>
      </w:pPr>
      <w:r>
        <w:rPr>
          <w:rFonts w:ascii="Calibri" w:hAnsi="Calibri" w:eastAsia="Calibri"/>
          <w:b/>
          <w:i/>
          <w:color w:val="0F766E"/>
          <w:sz w:val="18"/>
        </w:rPr>
        <w:t xml:space="preserve">Evidence: </w:t>
      </w:r>
      <w:r>
        <w:rPr>
          <w:rFonts w:ascii="Calibri" w:hAnsi="Calibri" w:eastAsia="Calibri"/>
          <w:b w:val="0"/>
          <w:i/>
          <w:color w:val="64748B"/>
          <w:sz w:val="18"/>
        </w:rPr>
        <w:t>GET /api/map kpis, top_districts, centroid_sources.</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15 — PLACEHOLDER ]</w:t>
            </w:r>
          </w:p>
          <w:p>
            <w:pPr>
              <w:jc w:val="center"/>
            </w:pPr>
            <w:r>
              <w:rPr>
                <w:rFonts w:ascii="Calibri" w:hAnsi="Calibri" w:eastAsia="Calibri"/>
                <w:b/>
                <w:i w:val="0"/>
                <w:color w:val="1E3A5F"/>
                <w:sz w:val="22"/>
              </w:rPr>
              <w:t>Geospatial map (2D intensity / heatmap / 3D) + top districts</w:t>
            </w:r>
          </w:p>
          <w:p>
            <w:pPr>
              <w:jc w:val="center"/>
            </w:pPr>
            <w:r>
              <w:rPr>
                <w:rFonts w:ascii="Calibri" w:hAnsi="Calibri" w:eastAsia="Calibri"/>
                <w:b w:val="0"/>
                <w:i/>
                <w:color w:val="64748B"/>
                <w:sz w:val="16"/>
              </w:rPr>
              <w:t>Insert path: docs/figures/fig15_geospatial.png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15. Placeholder — map module with intensity legend and hotspot callouts.</w:t>
      </w:r>
    </w:p>
    <w:p>
      <w:pPr>
        <w:pStyle w:val="Heading2"/>
        <w:spacing w:before="280" w:after="120"/>
      </w:pPr>
      <w:r>
        <w:rPr>
          <w:rFonts w:ascii="Calibri" w:hAnsi="Calibri" w:eastAsia="Calibri"/>
          <w:b/>
          <w:i w:val="0"/>
          <w:color w:val="0F766E"/>
          <w:sz w:val="26"/>
        </w:rPr>
        <w:t>7.5 Export &amp; reproducibility affordances</w:t>
      </w:r>
    </w:p>
    <w:p>
      <w:pPr>
        <w:pStyle w:val="ListBullet"/>
        <w:spacing w:after="60"/>
        <w:ind w:left="360"/>
      </w:pPr>
      <w:r>
        <w:rPr>
          <w:rFonts w:ascii="Calibri" w:hAnsi="Calibri" w:eastAsia="Calibri"/>
          <w:b w:val="0"/>
          <w:i w:val="0"/>
          <w:color w:val="334155"/>
          <w:sz w:val="22"/>
        </w:rPr>
        <w:t>Analytics CSV pack (regional / trends / risk / ops).</w:t>
      </w:r>
    </w:p>
    <w:p>
      <w:pPr>
        <w:pStyle w:val="ListBullet"/>
        <w:spacing w:after="60"/>
        <w:ind w:left="360"/>
      </w:pPr>
      <w:r>
        <w:rPr>
          <w:rFonts w:ascii="Calibri" w:hAnsi="Calibri" w:eastAsia="Calibri"/>
          <w:b w:val="0"/>
          <w:i w:val="0"/>
          <w:color w:val="334155"/>
          <w:sz w:val="22"/>
        </w:rPr>
        <w:t>Forecast CSV export of history + prediction path.</w:t>
      </w:r>
    </w:p>
    <w:p>
      <w:pPr>
        <w:pStyle w:val="ListBullet"/>
        <w:spacing w:after="60"/>
        <w:ind w:left="360"/>
      </w:pPr>
      <w:r>
        <w:rPr>
          <w:rFonts w:ascii="Calibri" w:hAnsi="Calibri" w:eastAsia="Calibri"/>
          <w:b w:val="0"/>
          <w:i w:val="0"/>
          <w:color w:val="334155"/>
          <w:sz w:val="22"/>
        </w:rPr>
        <w:t>Map CSV exports: full points, top districts, top states.</w:t>
      </w:r>
    </w:p>
    <w:p>
      <w:pPr>
        <w:pStyle w:val="ListBullet"/>
        <w:spacing w:after="60"/>
        <w:ind w:left="360"/>
      </w:pPr>
      <w:r>
        <w:rPr>
          <w:rFonts w:ascii="Calibri" w:hAnsi="Calibri" w:eastAsia="Calibri"/>
          <w:b w:val="0"/>
          <w:i w:val="0"/>
          <w:color w:val="334155"/>
          <w:sz w:val="22"/>
        </w:rPr>
        <w:t>Governance pack JSON + audit CSV import/export.</w:t>
      </w:r>
    </w:p>
    <w:p>
      <w:pPr>
        <w:pStyle w:val="ListBullet"/>
        <w:spacing w:after="60"/>
        <w:ind w:left="360"/>
      </w:pPr>
      <w:r>
        <w:rPr>
          <w:rFonts w:ascii="Calibri" w:hAnsi="Calibri" w:eastAsia="Calibri"/>
          <w:b w:val="0"/>
          <w:i w:val="0"/>
          <w:color w:val="334155"/>
          <w:sz w:val="22"/>
        </w:rPr>
        <w:t>Reproducibility knobs: contamination, min volume, horizon, model, conformal α, seeds.</w:t>
      </w:r>
    </w:p>
    <w:p>
      <w:pPr>
        <w:pStyle w:val="Heading2"/>
        <w:spacing w:before="280" w:after="120"/>
      </w:pPr>
      <w:r>
        <w:rPr>
          <w:rFonts w:ascii="Calibri" w:hAnsi="Calibri" w:eastAsia="Calibri"/>
          <w:b/>
          <w:i w:val="0"/>
          <w:color w:val="0F766E"/>
          <w:sz w:val="26"/>
        </w:rPr>
        <w:t>7.6 Engineering outcome: research → production UI without forking logic</w:t>
      </w:r>
    </w:p>
    <w:p>
      <w:pPr>
        <w:spacing w:after="160" w:before="0" w:line="240" w:lineRule="auto"/>
      </w:pPr>
      <w:r>
        <w:rPr>
          <w:rFonts w:ascii="Calibri" w:hAnsi="Calibri" w:eastAsia="Calibri"/>
          <w:b w:val="0"/>
          <w:i w:val="0"/>
          <w:color w:val="334155"/>
          <w:sz w:val="22"/>
        </w:rPr>
        <w:t>The dual-UI design is itself an outcome: Streamlit remains the rapid research surface, while the React app provides operator-grade navigation, map performance (MapLibre/deck.gl), and presentation polish. Both call the same Python analytics core, which is the primary guarantee of metric consistency cited throughout this report.</w:t>
      </w:r>
    </w:p>
    <w:tbl>
      <w:tblPr>
        <w:tblW w:type="auto" w:w="0"/>
        <w:jc w:val="center"/>
        <w:tblLook w:firstColumn="1" w:firstRow="1" w:lastColumn="0" w:lastRow="0" w:noHBand="0" w:noVBand="1" w:val="04A0"/>
      </w:tblPr>
      <w:tblGrid>
        <w:gridCol w:w="9412"/>
      </w:tblGrid>
      <w:tr>
        <w:tc>
          <w:tcPr>
            <w:tcW w:type="dxa" w:w="9412"/>
            <w:shd w:fill="EEF2FF" w:val="clear"/>
            <w:tcBorders>
              <w:top w:val="single" w:sz="12" w:space="0" w:color="6366F1"/>
              <w:left w:val="single" w:sz="12" w:space="0" w:color="6366F1"/>
              <w:bottom w:val="single" w:sz="12" w:space="0" w:color="6366F1"/>
              <w:right w:val="single" w:sz="12" w:space="0" w:color="6366F1"/>
            </w:tcBorders>
          </w:tcPr>
          <w:p>
            <w:pPr>
              <w:jc w:val="center"/>
            </w:pPr>
            <w:r/>
            <w:r>
              <w:rPr>
                <w:rFonts w:ascii="Calibri" w:hAnsi="Calibri" w:eastAsia="Calibri"/>
                <w:b/>
                <w:i w:val="0"/>
                <w:color w:val="6366F1"/>
                <w:sz w:val="20"/>
              </w:rPr>
              <w:t>[ FIGURE 16 — PLACEHOLDER ]</w:t>
            </w:r>
          </w:p>
          <w:p>
            <w:pPr>
              <w:jc w:val="center"/>
            </w:pPr>
            <w:r>
              <w:rPr>
                <w:rFonts w:ascii="Calibri" w:hAnsi="Calibri" w:eastAsia="Calibri"/>
                <w:b/>
                <w:i w:val="0"/>
                <w:color w:val="1E3A5F"/>
                <w:sz w:val="22"/>
              </w:rPr>
              <w:t>UI module collage (optional multi-panel figure)</w:t>
            </w:r>
          </w:p>
          <w:p>
            <w:pPr>
              <w:jc w:val="center"/>
            </w:pPr>
            <w:r>
              <w:rPr>
                <w:rFonts w:ascii="Calibri" w:hAnsi="Calibri" w:eastAsia="Calibri"/>
                <w:b w:val="0"/>
                <w:i/>
                <w:color w:val="64748B"/>
                <w:sz w:val="16"/>
              </w:rPr>
              <w:t>Insert path: docs/figures/fig16_ui_collage.png</w:t>
            </w:r>
          </w:p>
          <w:p>
            <w:pPr>
              <w:jc w:val="center"/>
            </w:pPr>
            <w:r>
              <w:rPr>
                <w:rFonts w:ascii="Calibri" w:hAnsi="Calibri" w:eastAsia="Calibri"/>
                <w:b w:val="0"/>
                <w:i w:val="0"/>
                <w:color w:val="94A3B8"/>
                <w:sz w:val="16"/>
              </w:rPr>
              <w:t>·  ·  ·  space reserved for plot / screenshot  ·  ·  ·</w:t>
            </w:r>
          </w:p>
          <w:p>
            <w:pPr>
              <w:jc w:val="center"/>
            </w:pPr>
            <w:r>
              <w:rPr>
                <w:rFonts w:ascii="Calibri" w:hAnsi="Calibri" w:eastAsia="Calibri"/>
                <w:b w:val="0"/>
                <w:i/>
                <w:color w:val="64748B"/>
                <w:sz w:val="16"/>
              </w:rPr>
              <w:t>How to fill: capture from live web app (http://127.0.0.1:8787) or export chart; drop file at the path above.</w:t>
            </w:r>
          </w:p>
        </w:tc>
      </w:tr>
    </w:tbl>
    <w:p>
      <w:pPr>
        <w:spacing w:after="240" w:before="40" w:line="240" w:lineRule="auto"/>
        <w:jc w:val="center"/>
      </w:pPr>
      <w:r>
        <w:rPr>
          <w:rFonts w:ascii="Calibri" w:hAnsi="Calibri" w:eastAsia="Calibri"/>
          <w:b w:val="0"/>
          <w:i/>
          <w:color w:val="64748B"/>
          <w:sz w:val="18"/>
        </w:rPr>
        <w:t>Figure 16. Placeholder — collage of Dashboard, Analytics, Forecast, Map, Governance.</w:t>
      </w:r>
    </w:p>
    <w:p>
      <w:r>
        <w:br w:type="page"/>
      </w:r>
    </w:p>
    <w:p>
      <w:pPr>
        <w:pStyle w:val="Heading1"/>
        <w:spacing w:before="360" w:after="160"/>
      </w:pPr>
      <w:r>
        <w:rPr>
          <w:rFonts w:ascii="Calibri" w:hAnsi="Calibri" w:eastAsia="Calibri"/>
          <w:b/>
          <w:i w:val="0"/>
          <w:color w:val="1E3A5F"/>
          <w:sz w:val="32"/>
        </w:rPr>
        <w:t>8. Cross-Cutting Synthesis and Implications</w:t>
      </w:r>
    </w:p>
    <w:p>
      <w:pPr>
        <w:pStyle w:val="Heading2"/>
        <w:spacing w:before="280" w:after="120"/>
      </w:pPr>
      <w:r>
        <w:rPr>
          <w:rFonts w:ascii="Calibri" w:hAnsi="Calibri" w:eastAsia="Calibri"/>
          <w:b/>
          <w:i w:val="0"/>
          <w:color w:val="0F766E"/>
          <w:sz w:val="26"/>
        </w:rPr>
        <w:t>8.1 Evidence chain (how a reviewer can re-verify)</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85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Step</w:t>
            </w:r>
          </w:p>
        </w:tc>
        <w:tc>
          <w:tcPr>
            <w:tcW w:type="dxa" w:w="453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Action</w:t>
            </w:r>
          </w:p>
        </w:tc>
        <w:tc>
          <w:tcPr>
            <w:tcW w:type="dxa" w:w="425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Expected artefact</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w:t>
            </w:r>
          </w:p>
        </w:tc>
        <w:tc>
          <w:tcPr>
            <w:tcW w:type="dxa" w:w="45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Start web stack: python run_web.py</w:t>
            </w:r>
          </w:p>
        </w:tc>
        <w:tc>
          <w:tcPr>
            <w:tcW w:type="dxa" w:w="425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http://127.0.0.1:8787 ready</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c>
          <w:tcPr>
            <w:tcW w:type="dxa" w:w="45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GET /api/health and /api/meta</w:t>
            </w:r>
          </w:p>
        </w:tc>
        <w:tc>
          <w:tcPr>
            <w:tcW w:type="dxa" w:w="425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source=cache; geo_eval; repair stats</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w:t>
            </w:r>
          </w:p>
        </w:tc>
        <w:tc>
          <w:tcPr>
            <w:tcW w:type="dxa" w:w="45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GET /api/dashboard</w:t>
            </w:r>
          </w:p>
        </w:tc>
        <w:tc>
          <w:tcPr>
            <w:tcW w:type="dxa" w:w="425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KPIs, top_risk, forecast summary</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c>
          <w:tcPr>
            <w:tcW w:type="dxa" w:w="45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GET /api/forecast?horizon=30&amp;model=Auto</w:t>
            </w:r>
          </w:p>
        </w:tc>
        <w:tc>
          <w:tcPr>
            <w:tcW w:type="dxa" w:w="425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comparison, resource_planning, meta</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w:t>
            </w:r>
          </w:p>
        </w:tc>
        <w:tc>
          <w:tcPr>
            <w:tcW w:type="dxa" w:w="45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GET /api/insights/dashboard &amp; /forecast</w:t>
            </w:r>
          </w:p>
        </w:tc>
        <w:tc>
          <w:tcPr>
            <w:tcW w:type="dxa" w:w="425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hybrid markdown + Key numbers</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w:t>
            </w:r>
          </w:p>
        </w:tc>
        <w:tc>
          <w:tcPr>
            <w:tcW w:type="dxa" w:w="45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GET /api/map</w:t>
            </w:r>
          </w:p>
        </w:tc>
        <w:tc>
          <w:tcPr>
            <w:tcW w:type="dxa" w:w="425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points, top districts, centroid_sources</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w:t>
            </w:r>
          </w:p>
        </w:tc>
        <w:tc>
          <w:tcPr>
            <w:tcW w:type="dxa" w:w="45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Optional: python docs/_extract_live_metrics.py</w:t>
            </w:r>
          </w:p>
        </w:tc>
        <w:tc>
          <w:tcPr>
            <w:tcW w:type="dxa" w:w="425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docs/_live_api_snapshots/summary_for_outcomes.json</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w:t>
            </w:r>
          </w:p>
        </w:tc>
        <w:tc>
          <w:tcPr>
            <w:tcW w:type="dxa" w:w="45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Fill figure placeholders from UI captures</w:t>
            </w:r>
          </w:p>
        </w:tc>
        <w:tc>
          <w:tcPr>
            <w:tcW w:type="dxa" w:w="425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docs/figures/figXX_*.png</w:t>
            </w:r>
          </w:p>
        </w:tc>
      </w:tr>
    </w:tbl>
    <w:p>
      <w:pPr>
        <w:spacing w:after="120"/>
      </w:pPr>
    </w:p>
    <w:p>
      <w:pPr>
        <w:pStyle w:val="Heading2"/>
        <w:spacing w:before="280" w:after="120"/>
      </w:pPr>
      <w:r>
        <w:rPr>
          <w:rFonts w:ascii="Calibri" w:hAnsi="Calibri" w:eastAsia="Calibri"/>
          <w:b/>
          <w:i w:val="0"/>
          <w:color w:val="0F766E"/>
          <w:sz w:val="26"/>
        </w:rPr>
        <w:t>8.2 Implications for operations</w:t>
      </w:r>
    </w:p>
    <w:p>
      <w:pPr>
        <w:pStyle w:val="ListBullet"/>
        <w:spacing w:after="60"/>
        <w:ind w:left="360"/>
      </w:pPr>
      <w:r>
        <w:rPr>
          <w:rFonts w:ascii="Calibri" w:hAnsi="Calibri" w:eastAsia="Calibri"/>
          <w:b w:val="0"/>
          <w:i w:val="0"/>
          <w:color w:val="334155"/>
          <w:sz w:val="22"/>
        </w:rPr>
        <w:t>Geo repair + governance reduce silent geographic bias before any ML is applied.</w:t>
      </w:r>
    </w:p>
    <w:p>
      <w:pPr>
        <w:pStyle w:val="ListBullet"/>
        <w:spacing w:after="60"/>
        <w:ind w:left="360"/>
      </w:pPr>
      <w:r>
        <w:rPr>
          <w:rFonts w:ascii="Calibri" w:hAnsi="Calibri" w:eastAsia="Calibri"/>
          <w:b w:val="0"/>
          <w:i w:val="0"/>
          <w:color w:val="334155"/>
          <w:sz w:val="22"/>
        </w:rPr>
        <w:t>Risk cells prioritise scarce investigation capacity; treat scores as triage, not guilt.</w:t>
      </w:r>
    </w:p>
    <w:p>
      <w:pPr>
        <w:pStyle w:val="ListBullet"/>
        <w:spacing w:after="60"/>
        <w:ind w:left="360"/>
      </w:pPr>
      <w:r>
        <w:rPr>
          <w:rFonts w:ascii="Calibri" w:hAnsi="Calibri" w:eastAsia="Calibri"/>
          <w:b w:val="0"/>
          <w:i w:val="0"/>
          <w:color w:val="334155"/>
          <w:sz w:val="22"/>
        </w:rPr>
        <w:t>Baseline-gated forecasts discourage overconfident complex models; decision bands communicate use-case fit.</w:t>
      </w:r>
    </w:p>
    <w:p>
      <w:pPr>
        <w:pStyle w:val="ListBullet"/>
        <w:spacing w:after="60"/>
        <w:ind w:left="360"/>
      </w:pPr>
      <w:r>
        <w:rPr>
          <w:rFonts w:ascii="Calibri" w:hAnsi="Calibri" w:eastAsia="Calibri"/>
          <w:b w:val="0"/>
          <w:i w:val="0"/>
          <w:color w:val="334155"/>
          <w:sz w:val="22"/>
        </w:rPr>
        <w:t>Resource planning converts abstract forecast peaks into operator headcount envelopes.</w:t>
      </w:r>
    </w:p>
    <w:p>
      <w:pPr>
        <w:pStyle w:val="ListBullet"/>
        <w:spacing w:after="60"/>
        <w:ind w:left="360"/>
      </w:pPr>
      <w:r>
        <w:rPr>
          <w:rFonts w:ascii="Calibri" w:hAnsi="Calibri" w:eastAsia="Calibri"/>
          <w:b w:val="0"/>
          <w:i w:val="0"/>
          <w:color w:val="334155"/>
          <w:sz w:val="22"/>
        </w:rPr>
        <w:t>Hybrid AI shortens narrative time-to-insight without replacing tabular audit trails.</w:t>
      </w:r>
    </w:p>
    <w:p>
      <w:pPr>
        <w:pStyle w:val="Heading2"/>
        <w:spacing w:before="280" w:after="120"/>
      </w:pPr>
      <w:r>
        <w:rPr>
          <w:rFonts w:ascii="Calibri" w:hAnsi="Calibri" w:eastAsia="Calibri"/>
          <w:b/>
          <w:i w:val="0"/>
          <w:color w:val="0F766E"/>
          <w:sz w:val="26"/>
        </w:rPr>
        <w:t>8.3 Implications for methods / research</w:t>
      </w:r>
    </w:p>
    <w:p>
      <w:pPr>
        <w:pStyle w:val="ListBullet"/>
        <w:spacing w:after="60"/>
        <w:ind w:left="360"/>
      </w:pPr>
      <w:r>
        <w:rPr>
          <w:rFonts w:ascii="Calibri" w:hAnsi="Calibri" w:eastAsia="Calibri"/>
          <w:b w:val="0"/>
          <w:i w:val="0"/>
          <w:color w:val="334155"/>
          <w:sz w:val="22"/>
        </w:rPr>
        <w:t>Demonstrates a full ops-research pipeline on noisy public-sector aggregates.</w:t>
      </w:r>
    </w:p>
    <w:p>
      <w:pPr>
        <w:pStyle w:val="ListBullet"/>
        <w:spacing w:after="60"/>
        <w:ind w:left="360"/>
      </w:pPr>
      <w:r>
        <w:rPr>
          <w:rFonts w:ascii="Calibri" w:hAnsi="Calibri" w:eastAsia="Calibri"/>
          <w:b w:val="0"/>
          <w:i w:val="0"/>
          <w:color w:val="334155"/>
          <w:sz w:val="22"/>
        </w:rPr>
        <w:t>Shows that unsupervised multi-feature outliers can be packaged with human-readable reason codes.</w:t>
      </w:r>
    </w:p>
    <w:p>
      <w:pPr>
        <w:pStyle w:val="ListBullet"/>
        <w:spacing w:after="60"/>
        <w:ind w:left="360"/>
      </w:pPr>
      <w:r>
        <w:rPr>
          <w:rFonts w:ascii="Calibri" w:hAnsi="Calibri" w:eastAsia="Calibri"/>
          <w:b w:val="0"/>
          <w:i w:val="0"/>
          <w:color w:val="334155"/>
          <w:sz w:val="22"/>
        </w:rPr>
        <w:t>Shows that forecast model choice can be automated with honest baseline gates and dual evaluation views (rolling vs holdout).</w:t>
      </w:r>
    </w:p>
    <w:p>
      <w:pPr>
        <w:pStyle w:val="ListBullet"/>
        <w:spacing w:after="60"/>
        <w:ind w:left="360"/>
      </w:pPr>
      <w:r>
        <w:rPr>
          <w:rFonts w:ascii="Calibri" w:hAnsi="Calibri" w:eastAsia="Calibri"/>
          <w:b w:val="0"/>
          <w:i w:val="0"/>
          <w:color w:val="334155"/>
          <w:sz w:val="22"/>
        </w:rPr>
        <w:t>Shows that research prototypes can graduate to SPA delivery without forking analytics logic.</w:t>
      </w:r>
    </w:p>
    <w:p>
      <w:pPr>
        <w:pStyle w:val="Heading2"/>
        <w:spacing w:before="280" w:after="120"/>
      </w:pPr>
      <w:r>
        <w:rPr>
          <w:rFonts w:ascii="Calibri" w:hAnsi="Calibri" w:eastAsia="Calibri"/>
          <w:b/>
          <w:i w:val="0"/>
          <w:color w:val="0F766E"/>
          <w:sz w:val="26"/>
        </w:rPr>
        <w:t>8.4 Limitations (must accompany any journal use of these numbers)</w:t>
      </w:r>
    </w:p>
    <w:tbl>
      <w:tblPr>
        <w:tblStyle w:val="TableGrid"/>
        <w:tblW w:type="auto" w:w="0"/>
        <w:jc w:val="center"/>
        <w:tblLayout w:type="autofit"/>
        <w:tblLook w:firstColumn="1" w:firstRow="1" w:lastColumn="0" w:lastRow="0" w:noHBand="0" w:noVBand="1" w:val="04A0"/>
      </w:tblPr>
      <w:tblGrid>
        <w:gridCol w:w="4706"/>
        <w:gridCol w:w="4706"/>
      </w:tblGrid>
      <w:tr>
        <w:tc>
          <w:tcPr>
            <w:tcW w:type="dxa" w:w="368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Limitation</w:t>
            </w:r>
          </w:p>
        </w:tc>
        <w:tc>
          <w:tcPr>
            <w:tcW w:type="dxa" w:w="5953"/>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Mitigation present in system</w:t>
            </w:r>
          </w:p>
        </w:tc>
      </w:tr>
      <w:tr>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Unsupervised anomalies ≠ fraud</w:t>
            </w:r>
          </w:p>
        </w:tc>
        <w:tc>
          <w:tcPr>
            <w:tcW w:type="dxa" w:w="5953"/>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UI/API disclaimers; investigation notes; reason codes</w:t>
            </w:r>
          </w:p>
        </w:tc>
      </w:tr>
      <w:tr>
        <w:tc>
          <w:tcPr>
            <w:tcW w:type="dxa" w:w="368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High absolute sMAPE on noisy daily series</w:t>
            </w:r>
          </w:p>
        </w:tc>
        <w:tc>
          <w:tcPr>
            <w:tcW w:type="dxa" w:w="5953"/>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Decision bands; conformal intervals; baseline gate</w:t>
            </w:r>
          </w:p>
        </w:tc>
      </w:tr>
      <w:tr>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Holdout may diverge from rolling CV</w:t>
            </w:r>
          </w:p>
        </w:tc>
        <w:tc>
          <w:tcPr>
            <w:tcW w:type="dxa" w:w="5953"/>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Both reported; operators re-check weekly</w:t>
            </w:r>
          </w:p>
        </w:tc>
      </w:tr>
      <w:tr>
        <w:tc>
          <w:tcPr>
            <w:tcW w:type="dxa" w:w="368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Centroid approximation for some districts</w:t>
            </w:r>
          </w:p>
        </w:tc>
        <w:tc>
          <w:tcPr>
            <w:tcW w:type="dxa" w:w="5953"/>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centroid_source exposed (district vs state)</w:t>
            </w:r>
          </w:p>
        </w:tc>
      </w:tr>
      <w:tr>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Rule-pack coverage gaps</w:t>
            </w:r>
          </w:p>
        </w:tc>
        <w:tc>
          <w:tcPr>
            <w:tcW w:type="dxa" w:w="5953"/>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Gold eval + durable human governance</w:t>
            </w:r>
          </w:p>
        </w:tc>
      </w:tr>
      <w:tr>
        <w:tc>
          <w:tcPr>
            <w:tcW w:type="dxa" w:w="368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LLM may restate poorly if unconstrained</w:t>
            </w:r>
          </w:p>
        </w:tc>
        <w:tc>
          <w:tcPr>
            <w:tcW w:type="dxa" w:w="5953"/>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Locked Key numbers; hybrid assembly</w:t>
            </w:r>
          </w:p>
        </w:tc>
      </w:tr>
      <w:tr>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Aggregate data only</w:t>
            </w:r>
          </w:p>
        </w:tc>
        <w:tc>
          <w:tcPr>
            <w:tcW w:type="dxa" w:w="5953"/>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No individual-level claims</w:t>
            </w:r>
          </w:p>
        </w:tc>
      </w:tr>
    </w:tbl>
    <w:p>
      <w:pPr>
        <w:spacing w:after="120"/>
      </w:pPr>
    </w:p>
    <w:p>
      <w:pPr>
        <w:pStyle w:val="Heading1"/>
        <w:spacing w:before="360" w:after="160"/>
      </w:pPr>
      <w:r>
        <w:rPr>
          <w:rFonts w:ascii="Calibri" w:hAnsi="Calibri" w:eastAsia="Calibri"/>
          <w:b/>
          <w:i w:val="0"/>
          <w:color w:val="1E3A5F"/>
          <w:sz w:val="32"/>
        </w:rPr>
        <w:t>9. Reproducibility, Configuration &amp; Artefacts</w:t>
      </w:r>
    </w:p>
    <w:p>
      <w:pPr>
        <w:pStyle w:val="Heading2"/>
        <w:spacing w:before="280" w:after="120"/>
      </w:pPr>
      <w:r>
        <w:rPr>
          <w:rFonts w:ascii="Calibri" w:hAnsi="Calibri" w:eastAsia="Calibri"/>
          <w:b/>
          <w:i w:val="0"/>
          <w:color w:val="0F766E"/>
          <w:sz w:val="26"/>
        </w:rPr>
        <w:t>9.1 Key configuration defaults</w:t>
      </w:r>
    </w:p>
    <w:tbl>
      <w:tblPr>
        <w:tblStyle w:val="TableGrid"/>
        <w:tblW w:type="auto" w:w="0"/>
        <w:jc w:val="center"/>
        <w:tblLayout w:type="autofit"/>
        <w:tblLook w:firstColumn="1" w:firstRow="1" w:lastColumn="0" w:lastRow="0" w:noHBand="0" w:noVBand="1" w:val="04A0"/>
      </w:tblPr>
      <w:tblGrid>
        <w:gridCol w:w="4706"/>
        <w:gridCol w:w="4706"/>
      </w:tblGrid>
      <w:tr>
        <w:tc>
          <w:tcPr>
            <w:tcW w:type="dxa" w:w="39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Parameter</w:t>
            </w:r>
          </w:p>
        </w:tc>
        <w:tc>
          <w:tcPr>
            <w:tcW w:type="dxa" w:w="56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Default / this capture</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CACHE_SCHEMA_VERSION</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GEO_RULE_PACK_VERSION</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1.1.0</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ANOMALY_CONTAMINATION</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0.05</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ANOMALY_MIN_VOLUME</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50</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FORECAST_CANDIDATES</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MovingAverage, Drift, Ensemble, SeasonalNaive</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FORECAST_PRIMARY_METRIC</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mase</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FORECAST_BEAT_BASELINE_EPS</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FORECAST_CONFORMAL_ALPHA</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0.1</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FORECAST_ROLLING_FOLDS</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r>
      <w:tr>
        <w:tc>
          <w:tcPr>
            <w:tcW w:type="dxa" w:w="39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FORECAST_RANDOM_SEED</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42</w:t>
            </w:r>
          </w:p>
        </w:tc>
      </w:tr>
      <w:tr>
        <w:tc>
          <w:tcPr>
            <w:tcW w:type="dxa" w:w="39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OLLAMA_MODEL</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qwen2.5:latest</w:t>
            </w:r>
          </w:p>
        </w:tc>
      </w:tr>
    </w:tbl>
    <w:p>
      <w:pPr>
        <w:spacing w:after="120"/>
      </w:pPr>
    </w:p>
    <w:p>
      <w:pPr>
        <w:pStyle w:val="Heading2"/>
        <w:spacing w:before="280" w:after="120"/>
      </w:pPr>
      <w:r>
        <w:rPr>
          <w:rFonts w:ascii="Calibri" w:hAnsi="Calibri" w:eastAsia="Calibri"/>
          <w:b/>
          <w:i w:val="0"/>
          <w:color w:val="0F766E"/>
          <w:sz w:val="26"/>
        </w:rPr>
        <w:t>9.2 Artefact checklist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83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Artefact</w:t>
            </w:r>
          </w:p>
        </w:tc>
        <w:tc>
          <w:tcPr>
            <w:tcW w:type="dxa" w:w="3685"/>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Location</w:t>
            </w:r>
          </w:p>
        </w:tc>
        <w:tc>
          <w:tcPr>
            <w:tcW w:type="dxa" w:w="311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Status on capture</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Parquet marts</w:t>
            </w:r>
          </w:p>
        </w:tc>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data/processed/</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Present (cache hit)</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Manifest + load_report</w:t>
            </w:r>
          </w:p>
        </w:tc>
        <w:tc>
          <w:tcPr>
            <w:tcW w:type="dxa" w:w="368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data/processed/manifest.json</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Present</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Governance patches</w:t>
            </w:r>
          </w:p>
        </w:tc>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output/governance_patches.json</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96 district merges</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Audit log</w:t>
            </w:r>
          </w:p>
        </w:tc>
        <w:tc>
          <w:tcPr>
            <w:tcW w:type="dxa" w:w="368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output/governance_audit.csv</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Present if actions applied</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Live API snapshots</w:t>
            </w:r>
          </w:p>
        </w:tc>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docs/_live_api_snapshots/</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Generated for this report</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Figure pack (to fill)</w:t>
            </w:r>
          </w:p>
        </w:tc>
        <w:tc>
          <w:tcPr>
            <w:tcW w:type="dxa" w:w="368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Placeholders only</w:t>
            </w:r>
          </w:p>
        </w:tc>
      </w:tr>
      <w:tr>
        <w:tc>
          <w:tcPr>
            <w:tcW w:type="dxa" w:w="283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This Outcomes document</w:t>
            </w:r>
          </w:p>
        </w:tc>
        <w:tc>
          <w:tcPr>
            <w:tcW w:type="dxa" w:w="3685"/>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docs/Aadhaar_Intel_Engine_Outcomes.docx</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Generated</w:t>
            </w:r>
          </w:p>
        </w:tc>
      </w:tr>
      <w:tr>
        <w:tc>
          <w:tcPr>
            <w:tcW w:type="dxa" w:w="283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Research markdown companion</w:t>
            </w:r>
          </w:p>
        </w:tc>
        <w:tc>
          <w:tcPr>
            <w:tcW w:type="dxa" w:w="3685"/>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docs/RESEARCH_OUTCOMES.md</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Living notes</w:t>
            </w:r>
          </w:p>
        </w:tc>
      </w:tr>
    </w:tbl>
    <w:p>
      <w:pPr>
        <w:spacing w:after="120"/>
      </w:pPr>
    </w:p>
    <w:p>
      <w:pPr>
        <w:pStyle w:val="Heading2"/>
        <w:spacing w:before="280" w:after="120"/>
      </w:pPr>
      <w:r>
        <w:rPr>
          <w:rFonts w:ascii="Calibri" w:hAnsi="Calibri" w:eastAsia="Calibri"/>
          <w:b/>
          <w:i w:val="0"/>
          <w:color w:val="0F766E"/>
          <w:sz w:val="26"/>
        </w:rPr>
        <w:t>9.3 Recommended figure pack for journal submission</w:t>
      </w:r>
    </w:p>
    <w:p>
      <w:pPr>
        <w:spacing w:after="160" w:before="0" w:line="240" w:lineRule="auto"/>
      </w:pPr>
      <w:r>
        <w:rPr>
          <w:rFonts w:ascii="Calibri" w:hAnsi="Calibri" w:eastAsia="Calibri"/>
          <w:b w:val="0"/>
          <w:i w:val="0"/>
          <w:color w:val="334155"/>
          <w:sz w:val="22"/>
        </w:rPr>
        <w:t>Create docs/figures/ and replace each placeholder above. Suggested minimum pack:</w:t>
      </w:r>
    </w:p>
    <w:p>
      <w:pPr>
        <w:pStyle w:val="ListBullet"/>
        <w:spacing w:after="60"/>
        <w:ind w:left="360"/>
      </w:pPr>
      <w:r>
        <w:rPr>
          <w:rFonts w:ascii="Calibri" w:hAnsi="Calibri" w:eastAsia="Calibri"/>
          <w:b w:val="0"/>
          <w:i w:val="0"/>
          <w:color w:val="334155"/>
          <w:sz w:val="22"/>
        </w:rPr>
        <w:t>Fig 1 Architecture · Fig 2 ETL pipeline · Fig 3 Geo repair examples</w:t>
      </w:r>
    </w:p>
    <w:p>
      <w:pPr>
        <w:pStyle w:val="ListBullet"/>
        <w:spacing w:after="60"/>
        <w:ind w:left="360"/>
      </w:pPr>
      <w:r>
        <w:rPr>
          <w:rFonts w:ascii="Calibri" w:hAnsi="Calibri" w:eastAsia="Calibri"/>
          <w:b w:val="0"/>
          <w:i w:val="0"/>
          <w:color w:val="334155"/>
          <w:sz w:val="22"/>
        </w:rPr>
        <w:t>Fig 5 Governance UI · Fig 6–7 Anomaly charts · Fig 8–10 Forecast + bake-off + staffing</w:t>
      </w:r>
    </w:p>
    <w:p>
      <w:pPr>
        <w:pStyle w:val="ListBullet"/>
        <w:spacing w:after="60"/>
        <w:ind w:left="360"/>
      </w:pPr>
      <w:r>
        <w:rPr>
          <w:rFonts w:ascii="Calibri" w:hAnsi="Calibri" w:eastAsia="Calibri"/>
          <w:b w:val="0"/>
          <w:i w:val="0"/>
          <w:color w:val="334155"/>
          <w:sz w:val="22"/>
        </w:rPr>
        <w:t>Fig 11 AI panels · Fig 12–16 Web app screenshots (Dashboard, Analytics, Forecast, Map, collage)</w:t>
      </w:r>
    </w:p>
    <w:p>
      <w:pPr>
        <w:pStyle w:val="Heading1"/>
        <w:spacing w:before="360" w:after="160"/>
      </w:pPr>
      <w:r>
        <w:rPr>
          <w:rFonts w:ascii="Calibri" w:hAnsi="Calibri" w:eastAsia="Calibri"/>
          <w:b/>
          <w:i w:val="0"/>
          <w:color w:val="1E3A5F"/>
          <w:sz w:val="32"/>
        </w:rPr>
        <w:t>10. Conclusions</w:t>
      </w:r>
    </w:p>
    <w:p>
      <w:pPr>
        <w:spacing w:after="160" w:before="0" w:line="240" w:lineRule="auto"/>
      </w:pPr>
      <w:r>
        <w:rPr>
          <w:rFonts w:ascii="Calibri" w:hAnsi="Calibri" w:eastAsia="Calibri"/>
          <w:b w:val="0"/>
          <w:i w:val="0"/>
          <w:color w:val="334155"/>
          <w:sz w:val="22"/>
        </w:rPr>
        <w:t>Measured on the live operator stack (http://127.0.0.1:8787) with cache-backed marts for 2025-03-02 → 2025-12-31, the Aadhaar Intel Engine demonstrates that noisy national-scale identity-system aggregates can support transparent operational intelligence when geography is repaired and governed as a first-class pipeline; when outlier detection is multi-feature and explicitly non-accusatory; when forecasting is baseline-honest, interval-aware, and translated into resource envelopes; when AI assists with evidence-locked narrative; and when research and professional UIs share one analytics core.</w:t>
      </w:r>
    </w:p>
    <w:p>
      <w:pPr>
        <w:spacing w:after="160" w:before="0" w:line="240" w:lineRule="auto"/>
      </w:pPr>
      <w:r>
        <w:rPr>
          <w:rFonts w:ascii="Calibri" w:hAnsi="Calibri" w:eastAsia="Calibri"/>
          <w:b w:val="0"/>
          <w:i w:val="0"/>
          <w:color w:val="334155"/>
          <w:sz w:val="22"/>
        </w:rPr>
        <w:t>Headline empirical anchors from this capture include: 5,435,484 enrolments across 36 states/861 districts; 205,657 alias repairs and 92,491 AP→Telangana reassignments with gold both-accuracy 100%; 42 risk cells under contamination 0.05; Auto-selected Ensemble (MASE 0.901, band directional) with ~3,404 operators implied at peak @ 40 txn/day; and hybrid LLM briefs available via qwen2.5:latest.</w:t>
      </w:r>
    </w:p>
    <w:p>
      <w:pPr>
        <w:spacing w:after="160" w:before="0" w:line="240" w:lineRule="auto"/>
      </w:pPr>
      <w:r>
        <w:rPr>
          <w:rFonts w:ascii="Calibri" w:hAnsi="Calibri" w:eastAsia="Calibri"/>
          <w:b w:val="0"/>
          <w:i w:val="0"/>
          <w:color w:val="334155"/>
          <w:sz w:val="22"/>
        </w:rPr>
        <w:t>Figures remain placeholders by design so authors can insert camera-ready plots and operator screenshots without coupling the manuscript to transient repository media. Re-run the live capture checklist in Section 8.1 to refresh tables for camera-ready submission.</w:t>
      </w:r>
    </w:p>
    <w:p>
      <w:r>
        <w:br w:type="page"/>
      </w:r>
    </w:p>
    <w:p>
      <w:pPr>
        <w:pStyle w:val="Heading1"/>
        <w:spacing w:before="360" w:after="160"/>
      </w:pPr>
      <w:r>
        <w:rPr>
          <w:rFonts w:ascii="Calibri" w:hAnsi="Calibri" w:eastAsia="Calibri"/>
          <w:b/>
          <w:i w:val="0"/>
          <w:color w:val="1E3A5F"/>
          <w:sz w:val="32"/>
        </w:rPr>
        <w:t>Appendix A — Figure index (placeholders)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850"/>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Fig.</w:t>
            </w:r>
          </w:p>
        </w:tc>
        <w:tc>
          <w:tcPr>
            <w:tcW w:type="dxa" w:w="3118"/>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Description</w:t>
            </w:r>
          </w:p>
        </w:tc>
        <w:tc>
          <w:tcPr>
            <w:tcW w:type="dxa" w:w="5669"/>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Intended path</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Architecture</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docs/figures/fig01_architecture.png</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ETL pipeline</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docs/figures/fig02_etl_pipeline.png</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Geo repair examples</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docs/figures/fig03_geo_repair_examples.png</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4</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Mart inventory</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docs/figures/fig04_mart_inventory.png</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5</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Governance UI</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docs/figures/fig05_governance_ui.png</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6</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Anomaly risk chart</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docs/figures/fig06_anomaly_risk.png</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7</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Risk radar</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docs/figures/fig07_risk_radar.png</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8</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 path</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docs/figures/fig08_forecast_path.png</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9</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Model bake-off</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docs/figures/fig09_model_bakeoff.png</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10</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Resource planning</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docs/figures/fig10_resource_planning.png</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11</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AI panels</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docs/figures/fig11_ai_panels.png</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12</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Dashboard UI</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docs/figures/fig12_dashboard.png</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13</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Analytics UI</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docs/figures/fig13_analytics.png</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14</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 UI</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docs/figures/fig14_forecast_ui.png</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15</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Geospatial map</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docs/figures/fig15_geospatial.png</w:t>
            </w:r>
          </w:p>
        </w:tc>
      </w:tr>
      <w:tr>
        <w:tc>
          <w:tcPr>
            <w:tcW w:type="dxa" w:w="850"/>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16</w:t>
            </w:r>
          </w:p>
        </w:tc>
        <w:tc>
          <w:tcPr>
            <w:tcW w:type="dxa" w:w="3118"/>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UI collage</w:t>
            </w:r>
          </w:p>
        </w:tc>
        <w:tc>
          <w:tcPr>
            <w:tcW w:type="dxa" w:w="5669"/>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docs/figures/fig16_ui_collage.png</w:t>
            </w:r>
          </w:p>
        </w:tc>
      </w:tr>
      <w:tr>
        <w:tc>
          <w:tcPr>
            <w:tcW w:type="dxa" w:w="850"/>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w:t>
            </w:r>
          </w:p>
        </w:tc>
        <w:tc>
          <w:tcPr>
            <w:tcW w:type="dxa" w:w="3118"/>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Additional plots/screenshots</w:t>
            </w:r>
          </w:p>
        </w:tc>
        <w:tc>
          <w:tcPr>
            <w:tcW w:type="dxa" w:w="5669"/>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docs/figures/… (add freely)</w:t>
            </w:r>
          </w:p>
        </w:tc>
      </w:tr>
    </w:tbl>
    <w:p>
      <w:pPr>
        <w:spacing w:after="120"/>
      </w:pPr>
    </w:p>
    <w:p>
      <w:pPr>
        <w:pStyle w:val="Heading1"/>
        <w:spacing w:before="360" w:after="160"/>
      </w:pPr>
      <w:r>
        <w:rPr>
          <w:rFonts w:ascii="Calibri" w:hAnsi="Calibri" w:eastAsia="Calibri"/>
          <w:b/>
          <w:i w:val="0"/>
          <w:color w:val="1E3A5F"/>
          <w:sz w:val="32"/>
        </w:rPr>
        <w:t>Appendix B — Run metadata template (copy per experiment)</w:t>
      </w:r>
    </w:p>
    <w:tbl>
      <w:tblPr>
        <w:tblStyle w:val="TableGrid"/>
        <w:tblW w:type="auto" w:w="0"/>
        <w:jc w:val="center"/>
        <w:tblLayout w:type="autofit"/>
        <w:tblLook w:firstColumn="1" w:firstRow="1" w:lastColumn="0" w:lastRow="0" w:noHBand="0" w:noVBand="1" w:val="04A0"/>
      </w:tblPr>
      <w:tblGrid>
        <w:gridCol w:w="4706"/>
        <w:gridCol w:w="4706"/>
      </w:tblGrid>
      <w:tr>
        <w:tc>
          <w:tcPr>
            <w:tcW w:type="dxa" w:w="3402"/>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Field</w:t>
            </w:r>
          </w:p>
        </w:tc>
        <w:tc>
          <w:tcPr>
            <w:tcW w:type="dxa" w:w="6236"/>
            <w:shd w:fill="1E3A5F" w:val="clear"/>
            <w:tcBorders>
              <w:top w:val="single" w:sz="4" w:space="0" w:color="94A3B8"/>
              <w:left w:val="single" w:sz="4" w:space="0" w:color="94A3B8"/>
              <w:bottom w:val="single" w:sz="4" w:space="0" w:color="94A3B8"/>
              <w:right w:val="single" w:sz="4" w:space="0" w:color="94A3B8"/>
            </w:tcBorders>
          </w:tcPr>
          <w:p>
            <w:pPr>
              <w:jc w:val="center"/>
            </w:pPr>
            <w:r/>
            <w:r>
              <w:rPr>
                <w:rFonts w:ascii="Calibri" w:hAnsi="Calibri" w:eastAsia="Calibri"/>
                <w:b/>
                <w:i w:val="0"/>
                <w:color w:val="FFFFFF"/>
                <w:sz w:val="18"/>
              </w:rPr>
              <w:t>Value</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Run date</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2026-08-09 18:00 UTC</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Git commit</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a53efa3</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UI</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React web http://127.0.0.1:8787</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Filters</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States: All · Date: full mart window</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Contamination / min volume</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0.05 / 50</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Forecast horizon / scope</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30 / National</w:t>
            </w:r>
          </w:p>
        </w:tc>
      </w:tr>
      <w:tr>
        <w:tc>
          <w:tcPr>
            <w:tcW w:type="dxa" w:w="3402"/>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Selected model / reason</w:t>
            </w:r>
          </w:p>
        </w:tc>
        <w:tc>
          <w:tcPr>
            <w:tcW w:type="dxa" w:w="6236"/>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Ensemble / beats_baselines</w:t>
            </w:r>
          </w:p>
        </w:tc>
      </w:tr>
      <w:tr>
        <w:tc>
          <w:tcPr>
            <w:tcW w:type="dxa" w:w="3402"/>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t>Notes</w:t>
            </w:r>
          </w:p>
        </w:tc>
        <w:tc>
          <w:tcPr>
            <w:tcW w:type="dxa" w:w="6236"/>
            <w:shd w:fill="F1F5F9" w:val="clear"/>
            <w:tcBorders>
              <w:top w:val="single" w:sz="4" w:space="0" w:color="CBD5E1"/>
              <w:left w:val="single" w:sz="4" w:space="0" w:color="CBD5E1"/>
              <w:bottom w:val="single" w:sz="4" w:space="0" w:color="CBD5E1"/>
              <w:right w:val="single" w:sz="4" w:space="0" w:color="CBD5E1"/>
            </w:tcBorders>
          </w:tcPr>
          <w:p>
            <w:r/>
            <w:r>
              <w:rPr>
                <w:rFonts w:ascii="Calibri" w:hAnsi="Calibri" w:eastAsia="Calibri"/>
                <w:b w:val="0"/>
                <w:i w:val="0"/>
                <w:color w:val="334155"/>
                <w:sz w:val="18"/>
              </w:rPr>
            </w:r>
          </w:p>
        </w:tc>
      </w:tr>
    </w:tbl>
    <w:p>
      <w:pPr>
        <w:spacing w:after="120"/>
      </w:pPr>
    </w:p>
    <w:p>
      <w:pPr>
        <w:pStyle w:val="Heading1"/>
        <w:spacing w:before="360" w:after="160"/>
      </w:pPr>
      <w:r>
        <w:rPr>
          <w:rFonts w:ascii="Calibri" w:hAnsi="Calibri" w:eastAsia="Calibri"/>
          <w:b/>
          <w:i w:val="0"/>
          <w:color w:val="1E3A5F"/>
          <w:sz w:val="32"/>
        </w:rPr>
        <w:t>Appendix C — In-repo references</w:t>
      </w:r>
    </w:p>
    <w:p>
      <w:pPr>
        <w:pStyle w:val="ListBullet"/>
        <w:spacing w:after="60"/>
        <w:ind w:left="360"/>
      </w:pPr>
      <w:r>
        <w:rPr>
          <w:rFonts w:ascii="Calibri" w:hAnsi="Calibri" w:eastAsia="Calibri"/>
          <w:b w:val="0"/>
          <w:i w:val="0"/>
          <w:color w:val="334155"/>
          <w:sz w:val="22"/>
        </w:rPr>
        <w:t>flowchart.md — system flowcharts</w:t>
      </w:r>
    </w:p>
    <w:p>
      <w:pPr>
        <w:pStyle w:val="ListBullet"/>
        <w:spacing w:after="60"/>
        <w:ind w:left="360"/>
      </w:pPr>
      <w:r>
        <w:rPr>
          <w:rFonts w:ascii="Calibri" w:hAnsi="Calibri" w:eastAsia="Calibri"/>
          <w:b w:val="0"/>
          <w:i w:val="0"/>
          <w:color w:val="334155"/>
          <w:sz w:val="22"/>
        </w:rPr>
        <w:t>web/FEATURE_PARITY.md — Streamlit ↔ React parity</w:t>
      </w:r>
    </w:p>
    <w:p>
      <w:pPr>
        <w:pStyle w:val="ListBullet"/>
        <w:spacing w:after="60"/>
        <w:ind w:left="360"/>
      </w:pPr>
      <w:r>
        <w:rPr>
          <w:rFonts w:ascii="Calibri" w:hAnsi="Calibri" w:eastAsia="Calibri"/>
          <w:b w:val="0"/>
          <w:i w:val="0"/>
          <w:color w:val="334155"/>
          <w:sz w:val="22"/>
        </w:rPr>
        <w:t>docs/RESEARCH_OUTCOMES.md — living research notes</w:t>
      </w:r>
    </w:p>
    <w:p>
      <w:pPr>
        <w:pStyle w:val="ListBullet"/>
        <w:spacing w:after="60"/>
        <w:ind w:left="360"/>
      </w:pPr>
      <w:r>
        <w:rPr>
          <w:rFonts w:ascii="Calibri" w:hAnsi="Calibri" w:eastAsia="Calibri"/>
          <w:b w:val="0"/>
          <w:i w:val="0"/>
          <w:color w:val="334155"/>
          <w:sz w:val="22"/>
        </w:rPr>
        <w:t>docs/capture_live_assets.py — optional UI capture helper</w:t>
      </w:r>
    </w:p>
    <w:p>
      <w:pPr>
        <w:pStyle w:val="ListBullet"/>
        <w:spacing w:after="60"/>
        <w:ind w:left="360"/>
      </w:pPr>
      <w:r>
        <w:rPr>
          <w:rFonts w:ascii="Calibri" w:hAnsi="Calibri" w:eastAsia="Calibri"/>
          <w:b w:val="0"/>
          <w:i w:val="0"/>
          <w:color w:val="334155"/>
          <w:sz w:val="22"/>
        </w:rPr>
        <w:t>docs/_extract_live_metrics.py — API metric extractor used for this doc</w:t>
      </w:r>
    </w:p>
    <w:p>
      <w:pPr>
        <w:pStyle w:val="ListBullet"/>
        <w:spacing w:after="60"/>
        <w:ind w:left="360"/>
      </w:pPr>
      <w:r>
        <w:rPr>
          <w:rFonts w:ascii="Calibri" w:hAnsi="Calibri" w:eastAsia="Calibri"/>
          <w:b w:val="0"/>
          <w:i w:val="0"/>
          <w:color w:val="334155"/>
          <w:sz w:val="22"/>
        </w:rPr>
        <w:t>tests/test_geo_repair.py, tests/test_forecast.py — automated checks</w:t>
      </w:r>
    </w:p>
    <w:p>
      <w:pPr>
        <w:pStyle w:val="ListBullet"/>
        <w:spacing w:after="60"/>
        <w:ind w:left="360"/>
      </w:pPr>
      <w:r>
        <w:rPr>
          <w:rFonts w:ascii="Calibri" w:hAnsi="Calibri" w:eastAsia="Calibri"/>
          <w:b w:val="0"/>
          <w:i w:val="0"/>
          <w:color w:val="334155"/>
          <w:sz w:val="22"/>
        </w:rPr>
        <w:t>src/config.py — knobs cited above</w:t>
      </w:r>
    </w:p>
    <w:p>
      <w:pPr>
        <w:pStyle w:val="ListBullet"/>
        <w:spacing w:after="60"/>
        <w:ind w:left="360"/>
      </w:pPr>
      <w:r>
        <w:rPr>
          <w:rFonts w:ascii="Calibri" w:hAnsi="Calibri" w:eastAsia="Calibri"/>
          <w:b w:val="0"/>
          <w:i w:val="0"/>
          <w:color w:val="334155"/>
          <w:sz w:val="22"/>
        </w:rPr>
        <w:t>src/geo/*, src/etl/build_cache.py, src/ai_core.py, src/forecasting.py, src/ai/research_insights.py — methods</w:t>
      </w:r>
    </w:p>
    <w:p>
      <w:pPr>
        <w:spacing w:after="120" w:before="360" w:line="240" w:lineRule="auto"/>
      </w:pPr>
      <w:r>
        <w:rPr>
          <w:rFonts w:ascii="Calibri" w:hAnsi="Calibri" w:eastAsia="Calibri"/>
          <w:b w:val="0"/>
          <w:i/>
          <w:color w:val="64748B"/>
          <w:sz w:val="18"/>
        </w:rPr>
        <w:t>Generated 2026-08-09 18:00 UTC from live API evidence at http://127.0.0.1:8787 · commit a53efa3. Update tables by re-running docs/_extract_live_metrics.py and docs/build_outcomes_docx.py.</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94A3B8"/>
        <w:sz w:val="16"/>
      </w:rPr>
      <w:t xml:space="preserve">Confidential research artefact · Aggregate data only · Page </w:t>
    </w:r>
    <w:r>
      <w:rPr>
        <w:rFonts w:ascii="Calibri" w:hAnsi="Calibri" w:eastAsia="Calibri"/>
        <w:b w:val="0"/>
        <w:i w:val="0"/>
        <w:color w:val="94A3B8"/>
        <w:sz w:val="16"/>
      </w:rPr>
      <w:fldChar w:fldCharType="begin"/>
    </w:r>
    <w:r>
      <w:rPr>
        <w:rFonts w:ascii="Calibri" w:hAnsi="Calibri" w:eastAsia="Calibri"/>
        <w:b w:val="0"/>
        <w:i w:val="0"/>
        <w:color w:val="94A3B8"/>
        <w:sz w:val="16"/>
      </w:rPr>
      <w:instrText xml:space="preserve"> PAGE </w:instrText>
    </w:r>
    <w:r>
      <w:rPr>
        <w:rFonts w:ascii="Calibri" w:hAnsi="Calibri" w:eastAsia="Calibri"/>
        <w:b w:val="0"/>
        <w:i w:val="0"/>
        <w:color w:val="94A3B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64748B"/>
        <w:sz w:val="16"/>
      </w:rPr>
      <w:t>Aadhaar Intel Engine — Research Outcomes  |  Evidence-backed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