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3D87C9F2" w:rsidR="00F24B89" w:rsidRDefault="00F24B89" w:rsidP="005F1ACC">
      <w:pPr>
        <w:jc w:val="both"/>
        <w:rPr>
          <w:rFonts w:cs="Arial"/>
          <w:lang w:val="en-US"/>
        </w:rPr>
      </w:pPr>
      <w:r>
        <w:rPr>
          <w:rFonts w:cs="Arial"/>
          <w:lang w:val="en-US"/>
        </w:rPr>
        <w:t>The 5G cellular system utilizes OFDMA MIMO technology at the physical layer. This technology permits degrees of freedom in frequency, time, and “space” for multiplexing the data of multiple users. Let us consider the down-link direction, i.e., from the base-station (</w:t>
      </w:r>
      <w:proofErr w:type="spellStart"/>
      <w:r>
        <w:rPr>
          <w:rFonts w:cs="Arial"/>
          <w:lang w:val="en-US"/>
        </w:rPr>
        <w:t>gNB</w:t>
      </w:r>
      <w:proofErr w:type="spellEnd"/>
      <w:r>
        <w:rPr>
          <w:rFonts w:cs="Arial"/>
          <w:lang w:val="en-US"/>
        </w:rPr>
        <w:t xml:space="preserve">) to the users (UE). The system bandwidth (e.g., 100 MHz), has several OFDM carriers, separated by a carrier spacing (e.g., 60 </w:t>
      </w:r>
      <w:proofErr w:type="spellStart"/>
      <w:r>
        <w:rPr>
          <w:rFonts w:cs="Arial"/>
          <w:lang w:val="en-US"/>
        </w:rPr>
        <w:t>KHz</w:t>
      </w:r>
      <w:proofErr w:type="spellEnd"/>
      <w:r>
        <w:rPr>
          <w:rFonts w:cs="Arial"/>
          <w:lang w:val="en-US"/>
        </w:rPr>
        <w:t>,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 xml:space="preserve">have time-division framing (e.g., 0.25 </w:t>
      </w:r>
      <w:proofErr w:type="spellStart"/>
      <w:r>
        <w:rPr>
          <w:rFonts w:cs="Arial"/>
          <w:lang w:val="en-US"/>
        </w:rPr>
        <w:t>ms</w:t>
      </w:r>
      <w:proofErr w:type="spellEnd"/>
      <w:r>
        <w:rPr>
          <w:rFonts w:cs="Arial"/>
          <w:lang w:val="en-US"/>
        </w:rPr>
        <w:t>), each frame carrying 14 symbols</w:t>
      </w:r>
      <w:r w:rsidR="006A3446">
        <w:rPr>
          <w:rFonts w:cs="Arial"/>
          <w:lang w:val="en-US"/>
        </w:rPr>
        <w:t xml:space="preserve"> of which 18% </w:t>
      </w:r>
      <w:r w:rsidR="00711154">
        <w:rPr>
          <w:rFonts w:cs="Arial"/>
          <w:lang w:val="en-US"/>
        </w:rPr>
        <w:t xml:space="preserve">on average is modeled as overheads in </w:t>
      </w:r>
      <w:proofErr w:type="spellStart"/>
      <w:r w:rsidR="00711154">
        <w:rPr>
          <w:rFonts w:cs="Arial"/>
          <w:lang w:val="en-US"/>
        </w:rPr>
        <w:t>NetSim</w:t>
      </w:r>
      <w:proofErr w:type="spellEnd"/>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5F1ACC">
      <w:pPr>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proofErr w:type="gramStart"/>
      <w:r w:rsidR="00BD2038" w:rsidRPr="00931A6E">
        <w:rPr>
          <w:rFonts w:cs="Arial"/>
          <w:lang w:val="en-US"/>
        </w:rPr>
        <w:t>Multi User</w:t>
      </w:r>
      <w:proofErr w:type="gramEnd"/>
      <w:r w:rsidR="00BD2038" w:rsidRPr="00931A6E">
        <w:rPr>
          <w:rFonts w:cs="Arial"/>
          <w:lang w:val="en-US"/>
        </w:rPr>
        <w:t xml:space="preserve">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layers within the same resource block,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 xml:space="preserve">1 </w:t>
      </w:r>
      <w:proofErr w:type="spellStart"/>
      <w:r w:rsidRPr="00C07244">
        <w:rPr>
          <w:rFonts w:cs="Arial"/>
          <w:lang w:val="en-US"/>
        </w:rPr>
        <w:t>gNB</w:t>
      </w:r>
      <w:proofErr w:type="spellEnd"/>
      <w:r w:rsidRPr="00C07244">
        <w:rPr>
          <w:rFonts w:cs="Arial"/>
          <w:lang w:val="en-US"/>
        </w:rPr>
        <w:t xml:space="preserve">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E46E36">
      <w:pPr>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C14BA0">
      <w:pPr>
        <w:spacing w:line="24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546E46">
      <w:pPr>
        <w:spacing w:line="24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546E46">
      <w:pPr>
        <w:spacing w:line="24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546E46">
      <w:pPr>
        <w:autoSpaceDE w:val="0"/>
        <w:autoSpaceDN w:val="0"/>
        <w:adjustRightInd w:val="0"/>
        <w:spacing w:after="0" w:line="24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546E46">
      <w:pPr>
        <w:autoSpaceDE w:val="0"/>
        <w:autoSpaceDN w:val="0"/>
        <w:adjustRightInd w:val="0"/>
        <w:spacing w:after="0" w:line="240" w:lineRule="auto"/>
        <w:jc w:val="both"/>
        <w:rPr>
          <w:rFonts w:cs="Arial"/>
          <w:i/>
          <w:iCs/>
          <w:sz w:val="16"/>
          <w:szCs w:val="16"/>
        </w:rPr>
      </w:pPr>
    </w:p>
    <w:p w14:paraId="20C41700" w14:textId="6C948A49" w:rsidR="007023F3" w:rsidRPr="007023F3" w:rsidRDefault="00CD3143" w:rsidP="00546E46">
      <w:pPr>
        <w:shd w:val="clear" w:color="auto" w:fill="FFFFFF"/>
        <w:spacing w:before="120" w:after="0" w:line="24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000000" w:rsidP="00546E46">
      <w:pPr>
        <w:shd w:val="clear" w:color="auto" w:fill="FFFFFF"/>
        <w:spacing w:before="120" w:after="0" w:line="24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546E46">
      <w:pPr>
        <w:shd w:val="clear" w:color="auto" w:fill="FFFFFF"/>
        <w:spacing w:before="120" w:after="0" w:line="24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546E46">
      <w:pPr>
        <w:spacing w:before="120" w:after="120" w:line="24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w:t>
      </w:r>
      <w:proofErr w:type="spellStart"/>
      <w:r w:rsidRPr="00B74A3C">
        <w:rPr>
          <w:rFonts w:eastAsia="Calibri" w:cs="Arial"/>
          <w:lang w:eastAsia="en-IN"/>
        </w:rPr>
        <w:t>NetSim’s</w:t>
      </w:r>
      <w:proofErr w:type="spellEnd"/>
      <w:r w:rsidRPr="00B74A3C">
        <w:rPr>
          <w:rFonts w:eastAsia="Calibri" w:cs="Arial"/>
          <w:lang w:eastAsia="en-IN"/>
        </w:rPr>
        <w:t xml:space="preserve">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546E46">
      <w:pPr>
        <w:spacing w:before="120" w:after="120" w:line="24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546E46">
      <w:pPr>
        <w:spacing w:line="240" w:lineRule="auto"/>
        <w:jc w:val="both"/>
        <w:rPr>
          <w:rFonts w:cs="Arial"/>
        </w:rPr>
      </w:pPr>
      <w:r>
        <w:rPr>
          <w:rFonts w:cs="Arial"/>
        </w:rPr>
        <w:t>Three assumptions made in NetSim are:</w:t>
      </w:r>
    </w:p>
    <w:p w14:paraId="4BEA81B8" w14:textId="307EFFF1" w:rsidR="002C4ED7" w:rsidRPr="00C00C22" w:rsidRDefault="002C4ED7" w:rsidP="00403AFC">
      <w:pPr>
        <w:pStyle w:val="ListParagraph"/>
        <w:numPr>
          <w:ilvl w:val="0"/>
          <w:numId w:val="12"/>
        </w:numPr>
        <w:spacing w:line="24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403AFC">
      <w:pPr>
        <w:pStyle w:val="ListParagraph"/>
        <w:numPr>
          <w:ilvl w:val="0"/>
          <w:numId w:val="12"/>
        </w:numPr>
        <w:spacing w:line="240" w:lineRule="auto"/>
        <w:ind w:hanging="436"/>
        <w:jc w:val="both"/>
        <w:rPr>
          <w:rFonts w:cs="Arial"/>
        </w:rPr>
      </w:pPr>
      <w:r>
        <w:rPr>
          <w:rFonts w:cs="Arial"/>
        </w:rPr>
        <w:t xml:space="preserve">No channel errors. </w:t>
      </w:r>
    </w:p>
    <w:p w14:paraId="205BFDC3" w14:textId="78C2E2AE" w:rsidR="002C4ED7" w:rsidRPr="00966098" w:rsidRDefault="00BB049E" w:rsidP="00403AFC">
      <w:pPr>
        <w:pStyle w:val="ListParagraph"/>
        <w:numPr>
          <w:ilvl w:val="0"/>
          <w:numId w:val="12"/>
        </w:numPr>
        <w:spacing w:line="24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966098">
      <w:pPr>
        <w:spacing w:line="24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NetSim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w:t>
      </w:r>
      <w:proofErr w:type="spellStart"/>
      <w:r w:rsidRPr="00966098">
        <w:rPr>
          <w:rFonts w:cs="Arial"/>
        </w:rPr>
        <w:t>i</w:t>
      </w:r>
      <w:proofErr w:type="spellEnd"/>
      <w:r w:rsidRPr="00966098">
        <w:rPr>
          <w:rFonts w:cs="Arial"/>
        </w:rPr>
        <w:t>)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lastRenderedPageBreak/>
        <w:t>Procedure:</w:t>
      </w:r>
    </w:p>
    <w:p w14:paraId="56A4D528" w14:textId="03F495A1"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history="1">
        <w:r w:rsidR="00D21D4D" w:rsidRPr="00D21D4D">
          <w:rPr>
            <w:rStyle w:val="Hyperlink"/>
            <w:rFonts w:ascii="Arial" w:eastAsiaTheme="minorHAnsi" w:hAnsi="Arial" w:cs="Arial"/>
            <w:sz w:val="22"/>
            <w:szCs w:val="22"/>
            <w:lang w:eastAsia="en-US"/>
          </w:rPr>
          <w:t>GitHub link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39474987"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The extracted project folder consists of a </w:t>
      </w:r>
      <w:proofErr w:type="spellStart"/>
      <w:r w:rsidRPr="00EE1309">
        <w:rPr>
          <w:rFonts w:ascii="Arial" w:eastAsiaTheme="minorHAnsi" w:hAnsi="Arial" w:cs="Arial"/>
          <w:sz w:val="22"/>
          <w:szCs w:val="22"/>
          <w:lang w:eastAsia="en-US"/>
        </w:rPr>
        <w:t>NetSim</w:t>
      </w:r>
      <w:proofErr w:type="spellEnd"/>
      <w:r w:rsidRPr="00EE1309">
        <w:rPr>
          <w:rFonts w:ascii="Arial" w:eastAsiaTheme="minorHAnsi" w:hAnsi="Arial" w:cs="Arial"/>
          <w:sz w:val="22"/>
          <w:szCs w:val="22"/>
          <w:lang w:eastAsia="en-US"/>
        </w:rPr>
        <w:t xml:space="preserve"> workspace file</w:t>
      </w:r>
      <w:r w:rsidR="00A1380D">
        <w:rPr>
          <w:rFonts w:ascii="Arial" w:eastAsiaTheme="minorHAnsi" w:hAnsi="Arial" w:cs="Arial"/>
          <w:sz w:val="22"/>
          <w:szCs w:val="22"/>
          <w:lang w:eastAsia="en-US"/>
        </w:rPr>
        <w:t xml:space="preserve">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Go to </w:t>
      </w:r>
      <w:proofErr w:type="spellStart"/>
      <w:r w:rsidRPr="001E0E0F">
        <w:rPr>
          <w:rFonts w:ascii="Arial" w:eastAsiaTheme="minorHAnsi" w:hAnsi="Arial" w:cs="Arial"/>
          <w:sz w:val="22"/>
          <w:szCs w:val="22"/>
          <w:lang w:eastAsia="en-US"/>
        </w:rPr>
        <w:t>NetSim</w:t>
      </w:r>
      <w:proofErr w:type="spellEnd"/>
      <w:r w:rsidRPr="001E0E0F">
        <w:rPr>
          <w:rFonts w:ascii="Arial" w:eastAsiaTheme="minorHAnsi" w:hAnsi="Arial" w:cs="Arial"/>
          <w:sz w:val="22"/>
          <w:szCs w:val="22"/>
          <w:lang w:eastAsia="en-US"/>
        </w:rPr>
        <w:t xml:space="preserve"> Home window, go to Your Work and click on Import.</w:t>
      </w:r>
    </w:p>
    <w:p w14:paraId="5D162D66" w14:textId="5BF93AFF" w:rsidR="009F73C7" w:rsidRPr="006B1E0A" w:rsidRDefault="00C87951"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Pr>
          <w:rFonts w:ascii="Arial" w:hAnsi="Arial" w:cs="Arial"/>
          <w:noProof/>
          <w:sz w:val="22"/>
          <w:szCs w:val="22"/>
        </w:rPr>
        <w:drawing>
          <wp:inline distT="0" distB="0" distL="0" distR="0" wp14:anchorId="56EE0477" wp14:editId="1577C6A1">
            <wp:extent cx="5095208" cy="27129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0144" cy="2720875"/>
                    </a:xfrm>
                    <a:prstGeom prst="rect">
                      <a:avLst/>
                    </a:prstGeom>
                    <a:noFill/>
                    <a:ln>
                      <a:noFill/>
                    </a:ln>
                  </pic:spPr>
                </pic:pic>
              </a:graphicData>
            </a:graphic>
          </wp:inline>
        </w:drawing>
      </w:r>
    </w:p>
    <w:p w14:paraId="2D20CED1" w14:textId="709A1710"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D21D4D">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NetSim Home Window</w:t>
      </w:r>
    </w:p>
    <w:p w14:paraId="5EAAFD0B" w14:textId="08F6FA4E"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In the Import Workspace Window, browse and select </w:t>
      </w:r>
      <w:r w:rsidR="00A1380D" w:rsidRPr="00A1380D">
        <w:rPr>
          <w:rFonts w:ascii="Arial" w:eastAsiaTheme="minorHAnsi" w:hAnsi="Arial" w:cs="Arial"/>
          <w:sz w:val="22"/>
          <w:szCs w:val="22"/>
          <w:lang w:eastAsia="en-US"/>
        </w:rPr>
        <w:t>5G_advanced_experiments_with_NetSim</w:t>
      </w:r>
      <w:r w:rsidRPr="00EE1309">
        <w:rPr>
          <w:rFonts w:ascii="Arial" w:eastAsiaTheme="minorHAnsi" w:hAnsi="Arial" w:cs="Arial"/>
          <w:sz w:val="22"/>
          <w:szCs w:val="22"/>
          <w:lang w:eastAsia="en-US"/>
        </w:rPr>
        <w:t>.netsimexp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38B24C9B" w:rsidR="009F73C7" w:rsidRPr="006B1E0A" w:rsidRDefault="00A1380D"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Pr>
          <w:noProof/>
        </w:rPr>
        <w:lastRenderedPageBreak/>
        <w:drawing>
          <wp:inline distT="0" distB="0" distL="0" distR="0" wp14:anchorId="2B31AC1A" wp14:editId="7E0196EF">
            <wp:extent cx="4131310" cy="280165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907" cy="2808842"/>
                    </a:xfrm>
                    <a:prstGeom prst="rect">
                      <a:avLst/>
                    </a:prstGeom>
                  </pic:spPr>
                </pic:pic>
              </a:graphicData>
            </a:graphic>
          </wp:inline>
        </w:drawing>
      </w:r>
    </w:p>
    <w:p w14:paraId="10919B8B" w14:textId="79EDDD1C"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2</w:t>
      </w:r>
      <w:r w:rsidRPr="009F73C7">
        <w:rPr>
          <w:rFonts w:cs="Arial"/>
          <w:i w:val="0"/>
          <w:iCs w:val="0"/>
          <w:color w:val="auto"/>
        </w:rPr>
        <w:fldChar w:fldCharType="end"/>
      </w:r>
      <w:r w:rsidRPr="009F73C7">
        <w:rPr>
          <w:rFonts w:cs="Arial"/>
          <w:i w:val="0"/>
          <w:iCs w:val="0"/>
          <w:color w:val="auto"/>
        </w:rPr>
        <w:t>: NetSim Import workspace window</w:t>
      </w:r>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6263BF5F" w:rsidR="009F73C7" w:rsidRPr="006B1E0A" w:rsidRDefault="00941E60" w:rsidP="00AE652A">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1E3ED76D" wp14:editId="2D041FD9">
            <wp:extent cx="5076825" cy="27031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6067" cy="2708056"/>
                    </a:xfrm>
                    <a:prstGeom prst="rect">
                      <a:avLst/>
                    </a:prstGeom>
                    <a:noFill/>
                    <a:ln>
                      <a:noFill/>
                    </a:ln>
                  </pic:spPr>
                </pic:pic>
              </a:graphicData>
            </a:graphic>
          </wp:inline>
        </w:drawing>
      </w:r>
    </w:p>
    <w:p w14:paraId="21FC8ACC" w14:textId="223CCA0C"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3</w:t>
      </w:r>
      <w:r w:rsidRPr="009F73C7">
        <w:rPr>
          <w:rFonts w:cs="Arial"/>
          <w:i w:val="0"/>
          <w:iCs w:val="0"/>
          <w:color w:val="auto"/>
        </w:rPr>
        <w:fldChar w:fldCharType="end"/>
      </w:r>
      <w:r w:rsidRPr="009F73C7">
        <w:rPr>
          <w:rFonts w:cs="Arial"/>
          <w:i w:val="0"/>
          <w:iCs w:val="0"/>
          <w:color w:val="auto"/>
        </w:rPr>
        <w:t>: NetSim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proofErr w:type="spellStart"/>
      <w:r w:rsidRPr="00AD385D">
        <w:rPr>
          <w:rFonts w:ascii="Arial" w:hAnsi="Arial" w:cs="Arial"/>
          <w:b/>
          <w:bCs/>
          <w:lang w:val="en-US"/>
        </w:rPr>
        <w:t>NetSim</w:t>
      </w:r>
      <w:proofErr w:type="spellEnd"/>
      <w:r w:rsidRPr="00AD385D">
        <w:rPr>
          <w:rFonts w:ascii="Arial" w:hAnsi="Arial" w:cs="Arial"/>
          <w:b/>
          <w:bCs/>
          <w:lang w:val="en-US"/>
        </w:rPr>
        <w:t xml:space="preserve"> </w:t>
      </w:r>
      <w:r w:rsidR="00770DE8" w:rsidRPr="00AD385D">
        <w:rPr>
          <w:rFonts w:ascii="Arial" w:hAnsi="Arial" w:cs="Arial"/>
          <w:b/>
          <w:bCs/>
          <w:lang w:val="en-US"/>
        </w:rPr>
        <w:t>Settings:</w:t>
      </w:r>
      <w:bookmarkEnd w:id="0"/>
    </w:p>
    <w:p w14:paraId="212E11A8" w14:textId="2327DAEB" w:rsidR="00AD385D" w:rsidRPr="00AE652A"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w:t>
      </w:r>
      <w:proofErr w:type="spellStart"/>
      <w:r w:rsidRPr="002533A5">
        <w:rPr>
          <w:rFonts w:cs="Arial"/>
          <w:lang w:val="en-US"/>
        </w:rPr>
        <w:t>gNB</w:t>
      </w:r>
      <w:proofErr w:type="spellEnd"/>
      <w:r w:rsidRPr="002533A5">
        <w:rPr>
          <w:rFonts w:cs="Arial"/>
          <w:lang w:val="en-US"/>
        </w:rPr>
        <w:t xml:space="preserve"> and UE:</w:t>
      </w: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proofErr w:type="spellStart"/>
            <w:r w:rsidRPr="005F1ACC">
              <w:rPr>
                <w:rFonts w:cs="Arial"/>
                <w:lang w:val="en-US"/>
              </w:rPr>
              <w:t>gNB</w:t>
            </w:r>
            <w:proofErr w:type="spellEnd"/>
            <w:r w:rsidRPr="005F1ACC">
              <w:rPr>
                <w:rFonts w:cs="Arial"/>
                <w:lang w:val="en-US"/>
              </w:rPr>
              <w:t>- Interface 5G_RAN Parameters</w:t>
            </w:r>
          </w:p>
        </w:tc>
      </w:tr>
      <w:tr w:rsidR="00770DE8" w:rsidRPr="005F1ACC" w14:paraId="55FAD33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proofErr w:type="spellStart"/>
            <w:r w:rsidRPr="005F1ACC">
              <w:rPr>
                <w:rFonts w:cs="Arial"/>
                <w:lang w:val="en-US"/>
              </w:rPr>
              <w:t>gNB</w:t>
            </w:r>
            <w:proofErr w:type="spellEnd"/>
            <w:r w:rsidRPr="005F1ACC">
              <w:rPr>
                <w:rFonts w:cs="Arial"/>
                <w:lang w:val="en-US"/>
              </w:rPr>
              <w:t xml:space="preserve"> Height</w:t>
            </w:r>
          </w:p>
        </w:tc>
        <w:tc>
          <w:tcPr>
            <w:tcW w:w="4019"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19"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19"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t>CA Type</w:t>
            </w:r>
          </w:p>
        </w:tc>
        <w:tc>
          <w:tcPr>
            <w:tcW w:w="4019"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lastRenderedPageBreak/>
              <w:t>CA Configuration</w:t>
            </w:r>
          </w:p>
        </w:tc>
        <w:tc>
          <w:tcPr>
            <w:tcW w:w="4019"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19"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19"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19"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19"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19"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19"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19"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19"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19"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19"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19"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19"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19" w:type="dxa"/>
          </w:tcPr>
          <w:p w14:paraId="4CE04BE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RAYLEIGH with EIGEN Beamforming</w:t>
            </w:r>
          </w:p>
        </w:tc>
      </w:tr>
      <w:tr w:rsidR="00770DE8" w:rsidRPr="005F1ACC" w14:paraId="250D581B"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w:t>
            </w:r>
            <w:proofErr w:type="spellStart"/>
            <w:r w:rsidRPr="005F1ACC">
              <w:rPr>
                <w:rFonts w:cs="Arial"/>
                <w:lang w:val="en-US"/>
              </w:rPr>
              <w:t>ms</w:t>
            </w:r>
            <w:proofErr w:type="spellEnd"/>
            <w:r w:rsidRPr="005F1ACC">
              <w:rPr>
                <w:rFonts w:cs="Arial"/>
                <w:lang w:val="en-US"/>
              </w:rPr>
              <w:t>)</w:t>
            </w:r>
          </w:p>
        </w:tc>
        <w:tc>
          <w:tcPr>
            <w:tcW w:w="4019"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21BDB98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BF9CAEB" w14:textId="77777777" w:rsidR="00770DE8" w:rsidRPr="005F1ACC" w:rsidRDefault="00770DE8" w:rsidP="005F1ACC">
            <w:pPr>
              <w:jc w:val="both"/>
              <w:rPr>
                <w:rFonts w:cs="Arial"/>
                <w:lang w:val="en-US"/>
              </w:rPr>
            </w:pPr>
            <w:r w:rsidRPr="005F1ACC">
              <w:rPr>
                <w:rFonts w:cs="Arial"/>
                <w:lang w:val="en-US"/>
              </w:rPr>
              <w:t>O2I Penetration Model</w:t>
            </w:r>
          </w:p>
        </w:tc>
        <w:tc>
          <w:tcPr>
            <w:tcW w:w="4019" w:type="dxa"/>
          </w:tcPr>
          <w:p w14:paraId="08EA5B50"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B6AB914"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19" w:type="dxa"/>
          </w:tcPr>
          <w:p w14:paraId="0E2DBAF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19" w:type="dxa"/>
          </w:tcPr>
          <w:p w14:paraId="16B66FE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19" w:type="dxa"/>
          </w:tcPr>
          <w:p w14:paraId="702B0818"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19" w:type="dxa"/>
          </w:tcPr>
          <w:p w14:paraId="6E4516E4"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19" w:type="dxa"/>
          </w:tcPr>
          <w:p w14:paraId="59AD5FFD" w14:textId="6AFA30E5"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&lt;varied&gt;</w:t>
            </w:r>
          </w:p>
        </w:tc>
      </w:tr>
    </w:tbl>
    <w:p w14:paraId="784429A6" w14:textId="704B173F"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1</w:t>
      </w:r>
      <w:r w:rsidRPr="00E54215">
        <w:rPr>
          <w:i w:val="0"/>
          <w:iCs w:val="0"/>
          <w:color w:val="auto"/>
        </w:rPr>
        <w:fldChar w:fldCharType="end"/>
      </w:r>
      <w:r w:rsidRPr="00E54215">
        <w:rPr>
          <w:i w:val="0"/>
          <w:iCs w:val="0"/>
          <w:color w:val="auto"/>
        </w:rPr>
        <w:t xml:space="preserve">: </w:t>
      </w:r>
      <w:proofErr w:type="spellStart"/>
      <w:r w:rsidRPr="00E54215">
        <w:rPr>
          <w:i w:val="0"/>
          <w:iCs w:val="0"/>
          <w:color w:val="auto"/>
        </w:rPr>
        <w:t>gNB</w:t>
      </w:r>
      <w:proofErr w:type="spellEnd"/>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0FEDFCC8"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 xml:space="preserve">Case 1: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8AA0D92" w:rsidR="00B800BD" w:rsidRPr="005F1ACC" w:rsidRDefault="00A11E59" w:rsidP="005F1ACC">
      <w:pPr>
        <w:jc w:val="center"/>
        <w:rPr>
          <w:rFonts w:cs="Arial"/>
          <w:color w:val="1D2228"/>
          <w:shd w:val="clear" w:color="auto" w:fill="FFFFFF"/>
        </w:rPr>
      </w:pPr>
      <w:r>
        <w:rPr>
          <w:noProof/>
        </w:rPr>
        <w:lastRenderedPageBreak/>
        <w:drawing>
          <wp:inline distT="0" distB="0" distL="0" distR="0" wp14:anchorId="0ED77288" wp14:editId="55ECC92B">
            <wp:extent cx="4283710" cy="359649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742" cy="3598200"/>
                    </a:xfrm>
                    <a:prstGeom prst="rect">
                      <a:avLst/>
                    </a:prstGeom>
                  </pic:spPr>
                </pic:pic>
              </a:graphicData>
            </a:graphic>
          </wp:inline>
        </w:drawing>
      </w:r>
    </w:p>
    <w:p w14:paraId="5BCD37B0" w14:textId="49BF395F"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D21D4D">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580EE31F"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D21D4D">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77777777" w:rsidR="007862AC" w:rsidRDefault="007862AC">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Pr>
                <w:rFonts w:cs="Arial"/>
                <w:lang w:val="en-US"/>
              </w:rPr>
              <w:t>1942.26</w:t>
            </w:r>
          </w:p>
        </w:tc>
      </w:tr>
    </w:tbl>
    <w:p w14:paraId="005460F9" w14:textId="24353754"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 xml:space="preserve">Case 2: 1 </w:t>
      </w:r>
      <w:proofErr w:type="spellStart"/>
      <w:r w:rsidRPr="00237DBA">
        <w:rPr>
          <w:b/>
          <w:bCs/>
          <w:sz w:val="24"/>
          <w:szCs w:val="24"/>
          <w:shd w:val="clear" w:color="auto" w:fill="FFFFFF"/>
        </w:rPr>
        <w:t>gNB</w:t>
      </w:r>
      <w:proofErr w:type="spellEnd"/>
      <w:r w:rsidRPr="00237DBA">
        <w:rPr>
          <w:b/>
          <w:bCs/>
          <w:sz w:val="24"/>
          <w:szCs w:val="24"/>
          <w:shd w:val="clear" w:color="auto" w:fill="FFFFFF"/>
        </w:rPr>
        <w:t>- 8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1832264D" w:rsidR="00B800BD" w:rsidRDefault="00B308EF" w:rsidP="002E770D">
      <w:pPr>
        <w:jc w:val="center"/>
        <w:rPr>
          <w:rFonts w:cs="Arial"/>
          <w:color w:val="1D2228"/>
          <w:shd w:val="clear" w:color="auto" w:fill="FFFFFF"/>
        </w:rPr>
      </w:pPr>
      <w:r>
        <w:rPr>
          <w:noProof/>
        </w:rPr>
        <w:lastRenderedPageBreak/>
        <w:drawing>
          <wp:inline distT="0" distB="0" distL="0" distR="0" wp14:anchorId="56F41437" wp14:editId="3311346C">
            <wp:extent cx="5270354" cy="304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591" cy="3049872"/>
                    </a:xfrm>
                    <a:prstGeom prst="rect">
                      <a:avLst/>
                    </a:prstGeom>
                  </pic:spPr>
                </pic:pic>
              </a:graphicData>
            </a:graphic>
          </wp:inline>
        </w:drawing>
      </w:r>
    </w:p>
    <w:p w14:paraId="50424D84" w14:textId="0B5A1CA5"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74FF8F8B"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UE_8</w:t>
            </w:r>
          </w:p>
        </w:tc>
        <w:tc>
          <w:tcPr>
            <w:tcW w:w="2409" w:type="dxa"/>
            <w:shd w:val="clear" w:color="auto" w:fill="4472C4" w:themeFill="accent1"/>
          </w:tcPr>
          <w:p w14:paraId="1644FF22" w14:textId="79E128B4"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B308EF">
              <w:rPr>
                <w:rFonts w:cs="Arial"/>
                <w:color w:val="FFFFFF" w:themeColor="background1"/>
                <w:lang w:val="en-US"/>
              </w:rPr>
              <w:t>9</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158FEEDA"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77777777"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UE_8</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77777777" w:rsidR="00FA7DB1" w:rsidRDefault="00FA7DB1">
            <w:pPr>
              <w:jc w:val="both"/>
              <w:rPr>
                <w:rFonts w:cs="Arial"/>
                <w:b w:val="0"/>
                <w:bCs w:val="0"/>
                <w:sz w:val="20"/>
                <w:szCs w:val="20"/>
                <w:lang w:val="en-US"/>
              </w:rPr>
            </w:pPr>
            <w:r>
              <w:rPr>
                <w:rFonts w:cs="Arial"/>
                <w:b w:val="0"/>
                <w:bCs w:val="0"/>
                <w:sz w:val="20"/>
                <w:szCs w:val="20"/>
                <w:lang w:val="en-US"/>
              </w:rPr>
              <w:t>677.55</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77777777"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686.66</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77777777"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1364.21</w:t>
            </w:r>
          </w:p>
        </w:tc>
      </w:tr>
    </w:tbl>
    <w:p w14:paraId="422510CA" w14:textId="481C5CF4"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w:t>
      </w:r>
      <w:proofErr w:type="spellStart"/>
      <w:r w:rsidR="002E5DB2">
        <w:rPr>
          <w:i w:val="0"/>
          <w:iCs w:val="0"/>
          <w:color w:val="auto"/>
        </w:rPr>
        <w:t>uE</w:t>
      </w:r>
      <w:proofErr w:type="spellEnd"/>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 xml:space="preserve">Case 3: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2CC5B25" w:rsidR="006465F3" w:rsidRDefault="005F561F" w:rsidP="002E770D">
      <w:pPr>
        <w:jc w:val="center"/>
        <w:rPr>
          <w:rFonts w:cs="Arial"/>
          <w:color w:val="1D2228"/>
          <w:shd w:val="clear" w:color="auto" w:fill="FFFFFF"/>
        </w:rPr>
      </w:pPr>
      <w:r>
        <w:rPr>
          <w:noProof/>
        </w:rPr>
        <w:lastRenderedPageBreak/>
        <w:drawing>
          <wp:inline distT="0" distB="0" distL="0" distR="0" wp14:anchorId="24D18285" wp14:editId="44418889">
            <wp:extent cx="5036185" cy="417078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897" cy="4173857"/>
                    </a:xfrm>
                    <a:prstGeom prst="rect">
                      <a:avLst/>
                    </a:prstGeom>
                  </pic:spPr>
                </pic:pic>
              </a:graphicData>
            </a:graphic>
          </wp:inline>
        </w:drawing>
      </w:r>
    </w:p>
    <w:p w14:paraId="45D5BA75" w14:textId="2A124108"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2A74CD3C"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77777777"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AD3BDD" w14:paraId="20DAAF93"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8C80CD" w14:textId="77777777" w:rsidR="00AD3BDD" w:rsidRDefault="00AD3BDD">
            <w:pPr>
              <w:jc w:val="both"/>
              <w:rPr>
                <w:rFonts w:cs="Arial"/>
                <w:b w:val="0"/>
                <w:bCs w:val="0"/>
                <w:lang w:val="en-US"/>
              </w:rPr>
            </w:pPr>
            <w:r>
              <w:rPr>
                <w:rFonts w:cs="Arial"/>
                <w:b w:val="0"/>
                <w:bCs w:val="0"/>
                <w:lang w:val="en-US"/>
              </w:rPr>
              <w:t>192.13</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361E00"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200.19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29C490"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193.53</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6684A1"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199.14</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FAF6CB"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784.99</w:t>
            </w:r>
          </w:p>
        </w:tc>
      </w:tr>
    </w:tbl>
    <w:p w14:paraId="008E6E8D" w14:textId="10B466C5"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lastRenderedPageBreak/>
        <w:t xml:space="preserve">Case 4: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w:t>
      </w:r>
      <w:proofErr w:type="spellStart"/>
      <w:r w:rsidRPr="00237DBA">
        <w:rPr>
          <w:b/>
          <w:bCs/>
          <w:sz w:val="24"/>
          <w:szCs w:val="24"/>
          <w:shd w:val="clear" w:color="auto" w:fill="FFFFFF"/>
        </w:rPr>
        <w:t>tx</w:t>
      </w:r>
      <w:proofErr w:type="spellEnd"/>
      <w:r w:rsidRPr="00237DBA">
        <w:rPr>
          <w:b/>
          <w:bCs/>
          <w:sz w:val="24"/>
          <w:szCs w:val="24"/>
          <w:shd w:val="clear" w:color="auto" w:fill="FFFFFF"/>
        </w:rPr>
        <w:t xml:space="preserve">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56612F8A" w:rsidR="006465F3" w:rsidRDefault="00FA6F39" w:rsidP="00591842">
      <w:pPr>
        <w:jc w:val="center"/>
        <w:rPr>
          <w:rFonts w:cs="Arial"/>
          <w:color w:val="1D2228"/>
          <w:shd w:val="clear" w:color="auto" w:fill="FFFFFF"/>
        </w:rPr>
      </w:pPr>
      <w:r>
        <w:rPr>
          <w:noProof/>
        </w:rPr>
        <w:drawing>
          <wp:inline distT="0" distB="0" distL="0" distR="0" wp14:anchorId="6969949A" wp14:editId="05C8AA2E">
            <wp:extent cx="4207510" cy="3499888"/>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857" cy="3502672"/>
                    </a:xfrm>
                    <a:prstGeom prst="rect">
                      <a:avLst/>
                    </a:prstGeom>
                  </pic:spPr>
                </pic:pic>
              </a:graphicData>
            </a:graphic>
          </wp:inline>
        </w:drawing>
      </w:r>
    </w:p>
    <w:p w14:paraId="5111A319" w14:textId="0DCECEC1"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UE_8</w:t>
            </w:r>
          </w:p>
        </w:tc>
        <w:tc>
          <w:tcPr>
            <w:tcW w:w="1024" w:type="dxa"/>
            <w:shd w:val="clear" w:color="auto" w:fill="4472C4" w:themeFill="accent1"/>
            <w:vAlign w:val="center"/>
          </w:tcPr>
          <w:p w14:paraId="73984133" w14:textId="6972675F"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FA6F39">
              <w:rPr>
                <w:rFonts w:cs="Arial"/>
                <w:color w:val="FFFFFF" w:themeColor="background1"/>
                <w:sz w:val="20"/>
                <w:szCs w:val="20"/>
                <w:lang w:val="en-US"/>
              </w:rPr>
              <w:t>9</w:t>
            </w:r>
          </w:p>
        </w:tc>
        <w:tc>
          <w:tcPr>
            <w:tcW w:w="976" w:type="dxa"/>
            <w:shd w:val="clear" w:color="auto" w:fill="4472C4" w:themeFill="accent1"/>
            <w:vAlign w:val="center"/>
          </w:tcPr>
          <w:p w14:paraId="330A3A3D" w14:textId="182950C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FA6F39">
              <w:rPr>
                <w:rFonts w:cs="Arial"/>
                <w:color w:val="FFFFFF" w:themeColor="background1"/>
                <w:sz w:val="20"/>
                <w:szCs w:val="20"/>
                <w:lang w:val="en-US"/>
              </w:rPr>
              <w:t>0</w:t>
            </w:r>
          </w:p>
        </w:tc>
        <w:tc>
          <w:tcPr>
            <w:tcW w:w="976" w:type="dxa"/>
            <w:shd w:val="clear" w:color="auto" w:fill="4472C4" w:themeFill="accent1"/>
            <w:vAlign w:val="center"/>
          </w:tcPr>
          <w:p w14:paraId="2A69019D" w14:textId="39E5DD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1</w:t>
            </w:r>
          </w:p>
        </w:tc>
        <w:tc>
          <w:tcPr>
            <w:tcW w:w="889" w:type="dxa"/>
            <w:shd w:val="clear" w:color="auto" w:fill="4472C4" w:themeFill="accent1"/>
            <w:vAlign w:val="center"/>
          </w:tcPr>
          <w:p w14:paraId="2E7BEB8E" w14:textId="253D757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2</w:t>
            </w:r>
          </w:p>
        </w:tc>
        <w:tc>
          <w:tcPr>
            <w:tcW w:w="889" w:type="dxa"/>
            <w:shd w:val="clear" w:color="auto" w:fill="4472C4" w:themeFill="accent1"/>
            <w:vAlign w:val="center"/>
          </w:tcPr>
          <w:p w14:paraId="32835677" w14:textId="737EF03D"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3</w:t>
            </w:r>
          </w:p>
        </w:tc>
        <w:tc>
          <w:tcPr>
            <w:tcW w:w="889" w:type="dxa"/>
            <w:shd w:val="clear" w:color="auto" w:fill="4472C4" w:themeFill="accent1"/>
            <w:vAlign w:val="center"/>
          </w:tcPr>
          <w:p w14:paraId="1FB20E0A" w14:textId="311068D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4</w:t>
            </w:r>
          </w:p>
        </w:tc>
        <w:tc>
          <w:tcPr>
            <w:tcW w:w="889" w:type="dxa"/>
            <w:shd w:val="clear" w:color="auto" w:fill="4472C4" w:themeFill="accent1"/>
            <w:vAlign w:val="center"/>
          </w:tcPr>
          <w:p w14:paraId="3255A856" w14:textId="65F6882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5</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47DE87B2"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77777777"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UE_8</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UE_15</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58309C" w14:paraId="3BE1E5F4" w14:textId="77777777" w:rsidTr="00CB4DB4">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585F40" w14:textId="77777777" w:rsidR="0058309C" w:rsidRDefault="0058309C">
            <w:pPr>
              <w:jc w:val="both"/>
              <w:rPr>
                <w:rFonts w:cs="Arial"/>
                <w:b w:val="0"/>
                <w:bCs w:val="0"/>
                <w:lang w:val="en-US"/>
              </w:rPr>
            </w:pPr>
            <w:r>
              <w:rPr>
                <w:rFonts w:cs="Arial"/>
                <w:b w:val="0"/>
                <w:bCs w:val="0"/>
                <w:lang w:val="en-US"/>
              </w:rPr>
              <w:t>52.44</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4ADA3E"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52.56</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A334A4"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52.79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2779A7"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52.79</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A72E217"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52.09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589840"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52.09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D58785"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52.20</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BCE2F8"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51.50</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5BFC11"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418.46</w:t>
            </w:r>
          </w:p>
        </w:tc>
      </w:tr>
    </w:tbl>
    <w:p w14:paraId="643F89F2" w14:textId="40192A9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lastRenderedPageBreak/>
        <w:t>Discussion</w:t>
      </w:r>
      <w:r w:rsidR="00F70C0F" w:rsidRPr="00F70C0F">
        <w:rPr>
          <w:shd w:val="clear" w:color="auto" w:fill="FFFFFF"/>
        </w:rPr>
        <w:t>:</w:t>
      </w:r>
    </w:p>
    <w:p w14:paraId="30537F10" w14:textId="5DBD028E" w:rsidR="00F14E01" w:rsidRPr="00361683" w:rsidRDefault="009B3296" w:rsidP="00361683">
      <w:pPr>
        <w:rPr>
          <w:b/>
          <w:bCs/>
          <w:shd w:val="clear" w:color="auto" w:fill="FFFFFF"/>
        </w:rPr>
      </w:pPr>
      <w:r>
        <w:rPr>
          <w:shd w:val="clear" w:color="auto" w:fill="FFFFFF"/>
        </w:rPr>
        <w:t xml:space="preserve">We combine the results of the four cases and present it in the table below. </w:t>
      </w: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B03CD7"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B03CD7" w:rsidRDefault="00F14E01">
            <w:pPr>
              <w:jc w:val="center"/>
              <w:rPr>
                <w:rFonts w:cs="Arial"/>
                <w:b/>
                <w:bCs/>
                <w:sz w:val="20"/>
                <w:szCs w:val="20"/>
                <w:shd w:val="clear" w:color="auto" w:fill="FFFFFF"/>
              </w:rPr>
            </w:pPr>
            <w:r w:rsidRPr="00B03CD7">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B03CD7" w:rsidRDefault="00F14E01">
            <w:pPr>
              <w:jc w:val="both"/>
              <w:rPr>
                <w:rFonts w:cs="Arial"/>
                <w:b/>
                <w:bCs/>
                <w:sz w:val="20"/>
                <w:szCs w:val="20"/>
                <w:shd w:val="clear" w:color="auto" w:fill="FFFFFF"/>
              </w:rPr>
            </w:pPr>
            <w:r w:rsidRPr="00B03CD7">
              <w:rPr>
                <w:rFonts w:cs="Arial"/>
                <w:b/>
                <w:bCs/>
                <w:sz w:val="20"/>
                <w:szCs w:val="20"/>
                <w:lang w:val="en-US"/>
              </w:rPr>
              <w:t>Aggregate Throughput (Mbps)</w:t>
            </w:r>
          </w:p>
        </w:tc>
      </w:tr>
      <w:tr w:rsidR="00B03CD7" w:rsidRPr="00B03CD7"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B03CD7"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B03CD7" w:rsidRDefault="00F14E01">
            <w:pPr>
              <w:rPr>
                <w:rFonts w:cs="Arial"/>
                <w:b/>
                <w:bCs/>
                <w:sz w:val="20"/>
                <w:szCs w:val="20"/>
                <w:shd w:val="clear" w:color="auto" w:fill="FFFFFF"/>
              </w:rPr>
            </w:pPr>
          </w:p>
        </w:tc>
      </w:tr>
      <w:tr w:rsidR="00B03CD7" w:rsidRPr="00B03CD7"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1942.26</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1942.26</w:t>
            </w:r>
          </w:p>
        </w:tc>
      </w:tr>
      <w:tr w:rsidR="00B03CD7" w:rsidRPr="00B03CD7"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677.55</w:t>
            </w:r>
          </w:p>
        </w:tc>
        <w:tc>
          <w:tcPr>
            <w:tcW w:w="864" w:type="dxa"/>
            <w:tcBorders>
              <w:top w:val="single" w:sz="4" w:space="0" w:color="auto"/>
              <w:left w:val="single" w:sz="4" w:space="0" w:color="auto"/>
              <w:bottom w:val="single" w:sz="4" w:space="0" w:color="auto"/>
              <w:right w:val="single" w:sz="4" w:space="0" w:color="auto"/>
            </w:tcBorders>
            <w:hideMark/>
          </w:tcPr>
          <w:p w14:paraId="58ED6ED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686.66</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2062BF9"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1364.21</w:t>
            </w:r>
          </w:p>
        </w:tc>
      </w:tr>
      <w:tr w:rsidR="00B03CD7" w:rsidRPr="00B03CD7" w14:paraId="7204E5D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hideMark/>
          </w:tcPr>
          <w:p w14:paraId="26B33A4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192.13</w:t>
            </w:r>
          </w:p>
        </w:tc>
        <w:tc>
          <w:tcPr>
            <w:tcW w:w="864" w:type="dxa"/>
            <w:tcBorders>
              <w:top w:val="single" w:sz="4" w:space="0" w:color="auto"/>
              <w:left w:val="single" w:sz="4" w:space="0" w:color="auto"/>
              <w:bottom w:val="single" w:sz="4" w:space="0" w:color="auto"/>
              <w:right w:val="single" w:sz="4" w:space="0" w:color="auto"/>
            </w:tcBorders>
            <w:hideMark/>
          </w:tcPr>
          <w:p w14:paraId="44CEBC4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200.19</w:t>
            </w:r>
          </w:p>
        </w:tc>
        <w:tc>
          <w:tcPr>
            <w:tcW w:w="864" w:type="dxa"/>
            <w:tcBorders>
              <w:top w:val="single" w:sz="4" w:space="0" w:color="auto"/>
              <w:left w:val="single" w:sz="4" w:space="0" w:color="auto"/>
              <w:bottom w:val="single" w:sz="4" w:space="0" w:color="auto"/>
              <w:right w:val="single" w:sz="4" w:space="0" w:color="auto"/>
            </w:tcBorders>
            <w:hideMark/>
          </w:tcPr>
          <w:p w14:paraId="4A19185A"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193.53</w:t>
            </w:r>
          </w:p>
        </w:tc>
        <w:tc>
          <w:tcPr>
            <w:tcW w:w="865" w:type="dxa"/>
            <w:tcBorders>
              <w:top w:val="single" w:sz="4" w:space="0" w:color="auto"/>
              <w:left w:val="single" w:sz="4" w:space="0" w:color="auto"/>
              <w:bottom w:val="single" w:sz="4" w:space="0" w:color="auto"/>
              <w:right w:val="single" w:sz="4" w:space="0" w:color="auto"/>
            </w:tcBorders>
            <w:hideMark/>
          </w:tcPr>
          <w:p w14:paraId="3FC80F8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199.14</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81A3F8E"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784.99</w:t>
            </w:r>
          </w:p>
        </w:tc>
      </w:tr>
      <w:tr w:rsidR="00B03CD7" w:rsidRPr="00B03CD7" w14:paraId="5004CDF7"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hideMark/>
          </w:tcPr>
          <w:p w14:paraId="3E23BC37"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52.44</w:t>
            </w:r>
          </w:p>
        </w:tc>
        <w:tc>
          <w:tcPr>
            <w:tcW w:w="864" w:type="dxa"/>
            <w:tcBorders>
              <w:top w:val="single" w:sz="4" w:space="0" w:color="auto"/>
              <w:left w:val="single" w:sz="4" w:space="0" w:color="auto"/>
              <w:bottom w:val="single" w:sz="4" w:space="0" w:color="auto"/>
              <w:right w:val="single" w:sz="4" w:space="0" w:color="auto"/>
            </w:tcBorders>
            <w:hideMark/>
          </w:tcPr>
          <w:p w14:paraId="7BF866BD"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52.56</w:t>
            </w:r>
          </w:p>
        </w:tc>
        <w:tc>
          <w:tcPr>
            <w:tcW w:w="864" w:type="dxa"/>
            <w:tcBorders>
              <w:top w:val="single" w:sz="4" w:space="0" w:color="auto"/>
              <w:left w:val="single" w:sz="4" w:space="0" w:color="auto"/>
              <w:bottom w:val="single" w:sz="4" w:space="0" w:color="auto"/>
              <w:right w:val="single" w:sz="4" w:space="0" w:color="auto"/>
            </w:tcBorders>
            <w:hideMark/>
          </w:tcPr>
          <w:p w14:paraId="038A5BEC"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52.79</w:t>
            </w:r>
          </w:p>
        </w:tc>
        <w:tc>
          <w:tcPr>
            <w:tcW w:w="865" w:type="dxa"/>
            <w:tcBorders>
              <w:top w:val="single" w:sz="4" w:space="0" w:color="auto"/>
              <w:left w:val="single" w:sz="4" w:space="0" w:color="auto"/>
              <w:bottom w:val="single" w:sz="4" w:space="0" w:color="auto"/>
              <w:right w:val="single" w:sz="4" w:space="0" w:color="auto"/>
            </w:tcBorders>
            <w:hideMark/>
          </w:tcPr>
          <w:p w14:paraId="6DF51891"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52.79</w:t>
            </w:r>
          </w:p>
        </w:tc>
        <w:tc>
          <w:tcPr>
            <w:tcW w:w="778" w:type="dxa"/>
            <w:tcBorders>
              <w:top w:val="single" w:sz="4" w:space="0" w:color="auto"/>
              <w:left w:val="single" w:sz="4" w:space="0" w:color="auto"/>
              <w:bottom w:val="single" w:sz="4" w:space="0" w:color="auto"/>
              <w:right w:val="single" w:sz="4" w:space="0" w:color="auto"/>
            </w:tcBorders>
            <w:hideMark/>
          </w:tcPr>
          <w:p w14:paraId="6EBC567A"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52.09</w:t>
            </w:r>
          </w:p>
        </w:tc>
        <w:tc>
          <w:tcPr>
            <w:tcW w:w="778" w:type="dxa"/>
            <w:tcBorders>
              <w:top w:val="single" w:sz="4" w:space="0" w:color="auto"/>
              <w:left w:val="single" w:sz="4" w:space="0" w:color="auto"/>
              <w:bottom w:val="single" w:sz="4" w:space="0" w:color="auto"/>
              <w:right w:val="single" w:sz="4" w:space="0" w:color="auto"/>
            </w:tcBorders>
            <w:hideMark/>
          </w:tcPr>
          <w:p w14:paraId="4A4E846D"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52.09</w:t>
            </w:r>
          </w:p>
        </w:tc>
        <w:tc>
          <w:tcPr>
            <w:tcW w:w="778" w:type="dxa"/>
            <w:tcBorders>
              <w:top w:val="single" w:sz="4" w:space="0" w:color="auto"/>
              <w:left w:val="single" w:sz="4" w:space="0" w:color="auto"/>
              <w:bottom w:val="single" w:sz="4" w:space="0" w:color="auto"/>
              <w:right w:val="single" w:sz="4" w:space="0" w:color="auto"/>
            </w:tcBorders>
            <w:hideMark/>
          </w:tcPr>
          <w:p w14:paraId="413B180C"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52.20</w:t>
            </w:r>
          </w:p>
        </w:tc>
        <w:tc>
          <w:tcPr>
            <w:tcW w:w="778" w:type="dxa"/>
            <w:tcBorders>
              <w:top w:val="single" w:sz="4" w:space="0" w:color="auto"/>
              <w:left w:val="single" w:sz="4" w:space="0" w:color="auto"/>
              <w:bottom w:val="single" w:sz="4" w:space="0" w:color="auto"/>
              <w:right w:val="single" w:sz="4" w:space="0" w:color="auto"/>
            </w:tcBorders>
            <w:hideMark/>
          </w:tcPr>
          <w:p w14:paraId="1316650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51.50</w:t>
            </w:r>
          </w:p>
        </w:tc>
        <w:tc>
          <w:tcPr>
            <w:tcW w:w="1338" w:type="dxa"/>
            <w:tcBorders>
              <w:top w:val="single" w:sz="4" w:space="0" w:color="auto"/>
              <w:left w:val="single" w:sz="4" w:space="0" w:color="auto"/>
              <w:bottom w:val="single" w:sz="4" w:space="0" w:color="auto"/>
              <w:right w:val="single" w:sz="4" w:space="0" w:color="auto"/>
            </w:tcBorders>
            <w:hideMark/>
          </w:tcPr>
          <w:p w14:paraId="5D2E306E"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418.46</w:t>
            </w:r>
          </w:p>
        </w:tc>
      </w:tr>
    </w:tbl>
    <w:p w14:paraId="635E6D0C" w14:textId="305EFBFF"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D21D4D">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0F3BEF2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D21D4D" w:rsidRPr="003F0B8B">
        <w:t xml:space="preserve">Table </w:t>
      </w:r>
      <w:r w:rsidR="00D21D4D">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1942.26 (1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1942.26 (1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1364.21 (2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1353.94 (1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784.99 (4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767.96 (1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77777777" w:rsidR="00B03CD7" w:rsidRPr="009D13E8" w:rsidRDefault="00B03CD7">
            <w:pPr>
              <w:jc w:val="both"/>
              <w:rPr>
                <w:rFonts w:cs="Arial"/>
                <w:sz w:val="20"/>
                <w:szCs w:val="20"/>
                <w:shd w:val="clear" w:color="auto" w:fill="FFFFFF"/>
              </w:rPr>
            </w:pPr>
            <w:r w:rsidRPr="009D13E8">
              <w:rPr>
                <w:rFonts w:cs="Arial"/>
                <w:sz w:val="20"/>
                <w:szCs w:val="20"/>
                <w:lang w:val="en-US"/>
              </w:rPr>
              <w:t xml:space="preserve">418.46 </w:t>
            </w:r>
            <w:r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422.46 (1 UE 1 Rx Antennas)</w:t>
            </w:r>
          </w:p>
        </w:tc>
      </w:tr>
    </w:tbl>
    <w:p w14:paraId="4E879FA8" w14:textId="1C50A853"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2E5DB2">
        <w:rPr>
          <w:i w:val="0"/>
          <w:iCs w:val="0"/>
          <w:color w:val="auto"/>
        </w:rPr>
        <w:t xml:space="preserve">Table </w:t>
      </w:r>
      <w:r w:rsidRPr="002E5DB2">
        <w:rPr>
          <w:i w:val="0"/>
          <w:iCs w:val="0"/>
          <w:color w:val="auto"/>
        </w:rPr>
        <w:fldChar w:fldCharType="begin"/>
      </w:r>
      <w:r w:rsidRPr="002E5DB2">
        <w:rPr>
          <w:i w:val="0"/>
          <w:iCs w:val="0"/>
          <w:color w:val="auto"/>
        </w:rPr>
        <w:instrText xml:space="preserve"> SEQ Table \* ARABIC </w:instrText>
      </w:r>
      <w:r w:rsidRPr="002E5DB2">
        <w:rPr>
          <w:i w:val="0"/>
          <w:iCs w:val="0"/>
          <w:color w:val="auto"/>
        </w:rPr>
        <w:fldChar w:fldCharType="separate"/>
      </w:r>
      <w:r w:rsidR="00D21D4D">
        <w:rPr>
          <w:i w:val="0"/>
          <w:iCs w:val="0"/>
          <w:noProof/>
          <w:color w:val="auto"/>
        </w:rPr>
        <w:t>12</w:t>
      </w:r>
      <w:r w:rsidRPr="002E5DB2">
        <w:rPr>
          <w:i w:val="0"/>
          <w:iCs w:val="0"/>
          <w:color w:val="auto"/>
        </w:rPr>
        <w:fldChar w:fldCharType="end"/>
      </w:r>
      <w:bookmarkEnd w:id="7"/>
      <w:r w:rsidRPr="002E5DB2">
        <w:rPr>
          <w:i w:val="0"/>
          <w:iCs w:val="0"/>
          <w:color w:val="auto"/>
        </w:rPr>
        <w:t xml:space="preserve">: </w:t>
      </w:r>
      <w:r w:rsidR="002E5DB2" w:rsidRPr="002E5DB2">
        <w:rPr>
          <w:i w:val="0"/>
          <w:iCs w:val="0"/>
          <w:color w:val="auto"/>
        </w:rPr>
        <w:t xml:space="preserve">Throughputs obtained for different Rx Antenna counts in multi and single UE </w:t>
      </w:r>
      <w:r w:rsidR="003C6669" w:rsidRPr="002E5DB2">
        <w:rPr>
          <w:i w:val="0"/>
          <w:iCs w:val="0"/>
          <w:color w:val="auto"/>
        </w:rPr>
        <w:t>cases.</w:t>
      </w:r>
    </w:p>
    <w:p w14:paraId="1E626034" w14:textId="497A3CB2"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D21D4D" w:rsidRPr="002E5DB2">
        <w:t xml:space="preserve">Table </w:t>
      </w:r>
      <w:r w:rsidR="00D21D4D">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000000"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000000"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000000"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000000"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000000"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…+log⁡(1+a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000000"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04A59B5B"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w:t>
      </w:r>
      <w:r w:rsidR="007278C7">
        <w:rPr>
          <w:rFonts w:eastAsiaTheme="minorEastAsia" w:cs="Arial"/>
          <w:shd w:val="clear" w:color="auto" w:fill="FFFFFF"/>
        </w:rPr>
        <w:lastRenderedPageBreak/>
        <w:t xml:space="preserve">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D21D4D" w:rsidRPr="003F0B8B">
        <w:t xml:space="preserve">Table </w:t>
      </w:r>
      <w:r w:rsidR="00D21D4D">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proofErr w:type="spellStart"/>
      <w:r w:rsidRPr="002533A5">
        <w:rPr>
          <w:rFonts w:cs="Arial"/>
          <w:shd w:val="clear" w:color="auto" w:fill="FFFFFF"/>
        </w:rPr>
        <w:t>gNB</w:t>
      </w:r>
      <w:proofErr w:type="spellEnd"/>
      <w:r w:rsidRPr="002533A5">
        <w:rPr>
          <w:rFonts w:cs="Arial"/>
          <w:shd w:val="clear" w:color="auto" w:fill="FFFFFF"/>
        </w:rPr>
        <w:t xml:space="preserve">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FB4D1" w14:textId="77777777" w:rsidR="00660A5D" w:rsidRDefault="00660A5D" w:rsidP="001E12F6">
      <w:pPr>
        <w:spacing w:after="0" w:line="240" w:lineRule="auto"/>
      </w:pPr>
      <w:r>
        <w:separator/>
      </w:r>
    </w:p>
  </w:endnote>
  <w:endnote w:type="continuationSeparator" w:id="0">
    <w:p w14:paraId="64B26202" w14:textId="77777777" w:rsidR="00660A5D" w:rsidRDefault="00660A5D"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1993F" w14:textId="77777777" w:rsidR="00660A5D" w:rsidRDefault="00660A5D" w:rsidP="001E12F6">
      <w:pPr>
        <w:spacing w:after="0" w:line="240" w:lineRule="auto"/>
      </w:pPr>
      <w:r>
        <w:separator/>
      </w:r>
    </w:p>
  </w:footnote>
  <w:footnote w:type="continuationSeparator" w:id="0">
    <w:p w14:paraId="794301F3" w14:textId="77777777" w:rsidR="00660A5D" w:rsidRDefault="00660A5D"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w:t>
      </w:r>
      <w:proofErr w:type="spellStart"/>
      <w:r w:rsidRPr="00640326">
        <w:rPr>
          <w:rFonts w:cs="Arial"/>
          <w:sz w:val="18"/>
          <w:szCs w:val="18"/>
        </w:rPr>
        <w:t>gNB</w:t>
      </w:r>
      <w:proofErr w:type="spellEnd"/>
      <w:r w:rsidRPr="00640326">
        <w:rPr>
          <w:rFonts w:cs="Arial"/>
          <w:sz w:val="18"/>
          <w:szCs w:val="18"/>
        </w:rPr>
        <w:t xml:space="preserve">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741C5"/>
    <w:rsid w:val="00074B38"/>
    <w:rsid w:val="00081F77"/>
    <w:rsid w:val="000838A6"/>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3467"/>
    <w:rsid w:val="001956A9"/>
    <w:rsid w:val="001A440D"/>
    <w:rsid w:val="001B2520"/>
    <w:rsid w:val="001B2596"/>
    <w:rsid w:val="001B4C36"/>
    <w:rsid w:val="001C1D9A"/>
    <w:rsid w:val="001C6431"/>
    <w:rsid w:val="001E12F6"/>
    <w:rsid w:val="001E49E7"/>
    <w:rsid w:val="001E7FFC"/>
    <w:rsid w:val="001F2AF6"/>
    <w:rsid w:val="001F7B6F"/>
    <w:rsid w:val="00201593"/>
    <w:rsid w:val="002018FF"/>
    <w:rsid w:val="0020331E"/>
    <w:rsid w:val="00231838"/>
    <w:rsid w:val="00234473"/>
    <w:rsid w:val="00237DBA"/>
    <w:rsid w:val="00243EBD"/>
    <w:rsid w:val="002473AC"/>
    <w:rsid w:val="0025040F"/>
    <w:rsid w:val="002533A5"/>
    <w:rsid w:val="002628F8"/>
    <w:rsid w:val="002648D6"/>
    <w:rsid w:val="0028251B"/>
    <w:rsid w:val="00284CF4"/>
    <w:rsid w:val="00297FA7"/>
    <w:rsid w:val="002B1D33"/>
    <w:rsid w:val="002B6A15"/>
    <w:rsid w:val="002C4ED7"/>
    <w:rsid w:val="002D08C7"/>
    <w:rsid w:val="002D4EF6"/>
    <w:rsid w:val="002E5DB2"/>
    <w:rsid w:val="002E770D"/>
    <w:rsid w:val="002F1074"/>
    <w:rsid w:val="002F1737"/>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73214"/>
    <w:rsid w:val="00392176"/>
    <w:rsid w:val="003927F0"/>
    <w:rsid w:val="00392CD2"/>
    <w:rsid w:val="00396225"/>
    <w:rsid w:val="003B02BB"/>
    <w:rsid w:val="003B402D"/>
    <w:rsid w:val="003C33E4"/>
    <w:rsid w:val="003C3D73"/>
    <w:rsid w:val="003C43AE"/>
    <w:rsid w:val="003C6669"/>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A7EBD"/>
    <w:rsid w:val="005B5B54"/>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60A5D"/>
    <w:rsid w:val="006709AB"/>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26A8B"/>
    <w:rsid w:val="0087397D"/>
    <w:rsid w:val="00873BD0"/>
    <w:rsid w:val="008762A0"/>
    <w:rsid w:val="00884A34"/>
    <w:rsid w:val="0088543F"/>
    <w:rsid w:val="00893B75"/>
    <w:rsid w:val="008A0A65"/>
    <w:rsid w:val="008B61DA"/>
    <w:rsid w:val="008C1451"/>
    <w:rsid w:val="008D10E1"/>
    <w:rsid w:val="008E6203"/>
    <w:rsid w:val="008F0FD1"/>
    <w:rsid w:val="008F607E"/>
    <w:rsid w:val="009218A9"/>
    <w:rsid w:val="00924364"/>
    <w:rsid w:val="0092605E"/>
    <w:rsid w:val="00931A6E"/>
    <w:rsid w:val="00941E60"/>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E4A00"/>
    <w:rsid w:val="009F73C7"/>
    <w:rsid w:val="00A0112A"/>
    <w:rsid w:val="00A04FD2"/>
    <w:rsid w:val="00A11E59"/>
    <w:rsid w:val="00A1380D"/>
    <w:rsid w:val="00A214BC"/>
    <w:rsid w:val="00A31B2E"/>
    <w:rsid w:val="00A424E6"/>
    <w:rsid w:val="00A44B7F"/>
    <w:rsid w:val="00A50599"/>
    <w:rsid w:val="00A51867"/>
    <w:rsid w:val="00A525DC"/>
    <w:rsid w:val="00A55E2A"/>
    <w:rsid w:val="00A57939"/>
    <w:rsid w:val="00A647F0"/>
    <w:rsid w:val="00A77712"/>
    <w:rsid w:val="00A807D8"/>
    <w:rsid w:val="00A91E00"/>
    <w:rsid w:val="00A93BDB"/>
    <w:rsid w:val="00AB11CA"/>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5E54"/>
    <w:rsid w:val="00B308EF"/>
    <w:rsid w:val="00B33667"/>
    <w:rsid w:val="00B46B17"/>
    <w:rsid w:val="00B54E88"/>
    <w:rsid w:val="00B60911"/>
    <w:rsid w:val="00B67CC9"/>
    <w:rsid w:val="00B73118"/>
    <w:rsid w:val="00B737FC"/>
    <w:rsid w:val="00B74A3C"/>
    <w:rsid w:val="00B77F01"/>
    <w:rsid w:val="00B800BD"/>
    <w:rsid w:val="00B81BC0"/>
    <w:rsid w:val="00B837F6"/>
    <w:rsid w:val="00B91457"/>
    <w:rsid w:val="00BA2D02"/>
    <w:rsid w:val="00BA4288"/>
    <w:rsid w:val="00BA46A1"/>
    <w:rsid w:val="00BB049E"/>
    <w:rsid w:val="00BC3163"/>
    <w:rsid w:val="00BD1A31"/>
    <w:rsid w:val="00BD2038"/>
    <w:rsid w:val="00BE2E38"/>
    <w:rsid w:val="00BE5A36"/>
    <w:rsid w:val="00BF5CB7"/>
    <w:rsid w:val="00C00C22"/>
    <w:rsid w:val="00C07244"/>
    <w:rsid w:val="00C0753D"/>
    <w:rsid w:val="00C1117D"/>
    <w:rsid w:val="00C11D33"/>
    <w:rsid w:val="00C11F19"/>
    <w:rsid w:val="00C14BA0"/>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348B"/>
    <w:rsid w:val="00D170FF"/>
    <w:rsid w:val="00D204F2"/>
    <w:rsid w:val="00D219AC"/>
    <w:rsid w:val="00D21D4D"/>
    <w:rsid w:val="00D22D16"/>
    <w:rsid w:val="00D27933"/>
    <w:rsid w:val="00D33A24"/>
    <w:rsid w:val="00D35759"/>
    <w:rsid w:val="00D4207B"/>
    <w:rsid w:val="00D54CDD"/>
    <w:rsid w:val="00D75CC3"/>
    <w:rsid w:val="00DA41CB"/>
    <w:rsid w:val="00DD3485"/>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E10C5"/>
    <w:rsid w:val="00EE1309"/>
    <w:rsid w:val="00EE3EE9"/>
    <w:rsid w:val="00EE7160"/>
    <w:rsid w:val="00EF3FC2"/>
    <w:rsid w:val="00F01901"/>
    <w:rsid w:val="00F05F7A"/>
    <w:rsid w:val="00F10A78"/>
    <w:rsid w:val="00F139A7"/>
    <w:rsid w:val="00F14E01"/>
    <w:rsid w:val="00F24B89"/>
    <w:rsid w:val="00F2799D"/>
    <w:rsid w:val="00F31EA7"/>
    <w:rsid w:val="00F46259"/>
    <w:rsid w:val="00F61BDC"/>
    <w:rsid w:val="00F66852"/>
    <w:rsid w:val="00F70C0F"/>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Experiments_v13_2_20/archive/refs/heads/main.zip%2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8</cp:revision>
  <cp:lastPrinted>2022-09-27T11:50:00Z</cp:lastPrinted>
  <dcterms:created xsi:type="dcterms:W3CDTF">2022-09-25T15:47:00Z</dcterms:created>
  <dcterms:modified xsi:type="dcterms:W3CDTF">2022-10-04T07:19:00Z</dcterms:modified>
</cp:coreProperties>
</file>