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בתחומי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המניפולציות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Sepal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הכינו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clustering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בתחומי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ותחקירים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;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ומודולרית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alerting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שהצעתם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האלגוריתמיקה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parallel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 (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הפרונט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אנד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ואחורה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ללועזי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5 (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אנד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/: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/: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limiting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לתיעוד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logging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קשינג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recurring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