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方正小标宋简体" w:hAnsi="方正小标宋简体" w:eastAsia="方正小标宋简体"/>
          <w:b/>
          <w:color w:val="C0392B"/>
          <w:sz w:val="48"/>
        </w:rPr>
        <w:t>基金组合一页纸</w:t>
      </w:r>
    </w:p>
    <w:p>
      <w:pPr>
        <w:spacing w:before="40" w:after="240"/>
        <w:jc w:val="center"/>
      </w:pPr>
      <w:r>
        <w:rPr>
          <w:rFonts w:ascii="黑体" w:hAnsi="黑体" w:eastAsia="黑体"/>
          <w:color w:val="B8860B"/>
          <w:sz w:val="26"/>
        </w:rPr>
        <w:t>R4进取型  ·  500万元  ·  2年期  ·  李永胜先生  ·  2026-06-27</w:t>
      </w:r>
    </w:p>
    <w:p>
      <w:pPr>
        <w:spacing w:before="0" w:after="20"/>
        <w:pBdr>
          <w:bottom w:val="single" w:sz="8" w:space="1" w:color="C0392B"/>
        </w:pBdr>
      </w:pPr>
    </w:p>
    <w:p>
      <w:pPr>
        <w:spacing w:before="0" w:after="20"/>
        <w:pBdr>
          <w:bottom w:val="single" w:sz="4" w:space="1" w:color="B8860B"/>
        </w:pBdr>
      </w:pPr>
    </w:p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核心结论——先看这里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✅  推荐策略：AI科技主动+被动双核 + 新能源卫星 + 红利压舱  四层组合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✅  目标年化收益：12%+（2年累计约25%，盈利约125万元）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✅  最大回撤硬顶：-20%（账面最多亏损约100万，届时启动加仓子弹）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✅  建仓方式：分3个月分批建仓，不一次押注，平滑时点风险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A1A1A"/>
          <w:sz w:val="24"/>
        </w:rPr>
        <w:t>⚠   首次权益投资，遇到浮亏是正常现象，持有=等待收益</w:t>
      </w:r>
    </w:p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组合配置方案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418"/>
        <w:gridCol w:w="1701"/>
        <w:gridCol w:w="3118"/>
        <w:gridCol w:w="2075"/>
      </w:tblGrid>
      <w:tblGrid>
        <w:gridCol w:w="2078"/>
        <w:gridCol w:w="2078"/>
        <w:gridCol w:w="2078"/>
        <w:gridCol w:w="2078"/>
      </w:tblGrid>
      <w:tr>
        <w:tc>
          <w:tcPr>
            <w:tcW w:w="1418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层级</w:t>
            </w:r>
          </w:p>
        </w:tc>
        <w:tc>
          <w:tcPr>
            <w:tcW w:w="1701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占比/金额</w:t>
            </w:r>
          </w:p>
        </w:tc>
        <w:tc>
          <w:tcPr>
            <w:tcW w:w="3118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基金名称（代码）</w:t>
            </w:r>
          </w:p>
        </w:tc>
        <w:tc>
          <w:tcPr>
            <w:tcW w:w="2075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核心逻辑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核心层A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35% / 175万</w:t>
            </w:r>
          </w:p>
        </w:tc>
        <w:tc>
          <w:tcPr>
            <w:tcW w:w="3118" w:type="dxa"/>
            <w:tcW w:type="dxa" w:w="31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富国创新科技A（016619）</w:t>
            </w:r>
          </w:p>
        </w:tc>
        <w:tc>
          <w:tcPr>
            <w:tcW w:w="2075" w:type="dxa"/>
            <w:tcW w:type="dxa" w:w="207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主动超额Alpha，经理稳定，已拓宽半导体+AI应用</w:t>
            </w:r>
          </w:p>
        </w:tc>
      </w:tr>
      <w:tr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核心层B</w:t>
            </w:r>
          </w:p>
        </w:tc>
        <w:tc>
          <w:tcPr>
            <w:tcW w:w="1701" w:type="dxa"/>
            <w:tcW w:type="dxa" w:w="1701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25% / 125万</w:t>
            </w:r>
          </w:p>
        </w:tc>
        <w:tc>
          <w:tcPr>
            <w:tcW w:w="3118" w:type="dxa"/>
            <w:tcW w:type="dxa" w:w="31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易方达AI ETF联接A（012733）</w:t>
            </w:r>
          </w:p>
        </w:tc>
        <w:tc>
          <w:tcPr>
            <w:tcW w:w="2075" w:type="dxa"/>
            <w:tcW w:type="dxa" w:w="2075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AI宽基Beta，透明可理解，流动性顶级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卫星层C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20% / 100万</w:t>
            </w:r>
          </w:p>
        </w:tc>
        <w:tc>
          <w:tcPr>
            <w:tcW w:w="3118" w:type="dxa"/>
            <w:tcW w:type="dxa" w:w="31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大成科技创新A（001654）</w:t>
            </w:r>
          </w:p>
        </w:tc>
        <w:tc>
          <w:tcPr>
            <w:tcW w:w="2075" w:type="dxa"/>
            <w:tcW w:type="dxa" w:w="207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AI+新能源双线，历经牛熊经理在职</w:t>
            </w:r>
          </w:p>
        </w:tc>
      </w:tr>
      <w:tr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压舱层D</w:t>
            </w:r>
          </w:p>
        </w:tc>
        <w:tc>
          <w:tcPr>
            <w:tcW w:w="1701" w:type="dxa"/>
            <w:tcW w:type="dxa" w:w="1701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10% /  50万</w:t>
            </w:r>
          </w:p>
        </w:tc>
        <w:tc>
          <w:tcPr>
            <w:tcW w:w="3118" w:type="dxa"/>
            <w:tcW w:type="dxa" w:w="31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中证红利ETF联接A（012643）</w:t>
            </w:r>
          </w:p>
        </w:tc>
        <w:tc>
          <w:tcPr>
            <w:tcW w:w="2075" w:type="dxa"/>
            <w:tcW w:type="dxa" w:w="2075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季度分红心理锚，高股息压舱石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流动性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10% /  50万</w:t>
            </w:r>
          </w:p>
        </w:tc>
        <w:tc>
          <w:tcPr>
            <w:tcW w:w="3118" w:type="dxa"/>
            <w:tcW w:type="dxa" w:w="31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货币基金（原有渠道）</w:t>
            </w:r>
          </w:p>
        </w:tc>
        <w:tc>
          <w:tcPr>
            <w:tcW w:w="2075" w:type="dxa"/>
            <w:tcW w:type="dxa" w:w="207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加仓子弹，下跌&gt;-10%时启动</w:t>
            </w:r>
          </w:p>
        </w:tc>
      </w:tr>
    </w:tbl>
    <w:p/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建仓节奏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418"/>
        <w:gridCol w:w="1701"/>
        <w:gridCol w:w="1418"/>
        <w:gridCol w:w="3775"/>
      </w:tblGrid>
      <w:tblGrid>
        <w:gridCol w:w="2078"/>
        <w:gridCol w:w="2078"/>
        <w:gridCol w:w="2078"/>
        <w:gridCol w:w="2078"/>
      </w:tblGrid>
      <w:tr>
        <w:tc>
          <w:tcPr>
            <w:tcW w:w="1418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批次</w:t>
            </w:r>
          </w:p>
        </w:tc>
        <w:tc>
          <w:tcPr>
            <w:tcW w:w="1701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时间</w:t>
            </w:r>
          </w:p>
        </w:tc>
        <w:tc>
          <w:tcPr>
            <w:tcW w:w="1418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买入</w:t>
            </w:r>
          </w:p>
        </w:tc>
        <w:tc>
          <w:tcPr>
            <w:tcW w:w="3775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各基金操作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第1批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第1个月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150万</w:t>
            </w:r>
          </w:p>
        </w:tc>
        <w:tc>
          <w:tcPr>
            <w:tcW w:w="3775" w:type="dxa"/>
            <w:tcW w:type="dxa" w:w="377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ETF联接A 50万 + 红利ETF联接A 50万；余额转货基</w:t>
            </w:r>
          </w:p>
        </w:tc>
      </w:tr>
      <w:tr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第2批</w:t>
            </w:r>
          </w:p>
        </w:tc>
        <w:tc>
          <w:tcPr>
            <w:tcW w:w="1701" w:type="dxa"/>
            <w:tcW w:type="dxa" w:w="1701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第2个月</w:t>
            </w:r>
          </w:p>
        </w:tc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150万</w:t>
            </w:r>
          </w:p>
        </w:tc>
        <w:tc>
          <w:tcPr>
            <w:tcW w:w="3775" w:type="dxa"/>
            <w:tcW w:type="dxa" w:w="3775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富国创新科技A 100万 + 大成科技创新A 50万</w:t>
            </w:r>
          </w:p>
        </w:tc>
      </w:tr>
      <w:tr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第3批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第3个月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200万</w:t>
            </w:r>
          </w:p>
        </w:tc>
        <w:tc>
          <w:tcPr>
            <w:tcW w:w="3775" w:type="dxa"/>
            <w:tcW w:type="dxa" w:w="377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富国再75万 + ETF联接A再75万 + 大成再50万；留50万货基</w:t>
            </w:r>
          </w:p>
        </w:tc>
      </w:tr>
      <w:tr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触发加仓</w:t>
            </w:r>
          </w:p>
        </w:tc>
        <w:tc>
          <w:tcPr>
            <w:tcW w:w="1701" w:type="dxa"/>
            <w:tcW w:type="dxa" w:w="1701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组合跌&gt;-10%</w:t>
            </w:r>
          </w:p>
        </w:tc>
        <w:tc>
          <w:tcPr>
            <w:tcW w:w="1418" w:type="dxa"/>
            <w:tcW w:type="dxa" w:w="141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≤50万</w:t>
            </w:r>
          </w:p>
        </w:tc>
        <w:tc>
          <w:tcPr>
            <w:tcW w:w="3775" w:type="dxa"/>
            <w:tcW w:type="dxa" w:w="3775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优先加仓富国或ETF联接A（动用货基）</w:t>
            </w:r>
          </w:p>
        </w:tc>
      </w:tr>
    </w:tbl>
    <w:p/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风险情景速查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2268"/>
        <w:gridCol w:w="1984"/>
        <w:gridCol w:w="2268"/>
        <w:gridCol w:w="1792"/>
      </w:tblGrid>
      <w:tblGrid>
        <w:gridCol w:w="2078"/>
        <w:gridCol w:w="2078"/>
        <w:gridCol w:w="2078"/>
        <w:gridCol w:w="2078"/>
      </w:tblGrid>
      <w:tr>
        <w:tc>
          <w:tcPr>
            <w:tcW w:w="2268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情景</w:t>
            </w:r>
          </w:p>
        </w:tc>
        <w:tc>
          <w:tcPr>
            <w:tcW w:w="1984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账户影响</w:t>
            </w:r>
          </w:p>
        </w:tc>
        <w:tc>
          <w:tcPr>
            <w:tcW w:w="2268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影响比例</w:t>
            </w:r>
          </w:p>
        </w:tc>
        <w:tc>
          <w:tcPr>
            <w:tcW w:w="1792" w:type="dxa"/>
            <w:tcW w:type="dxa" w:w="2078"/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建议操作</w:t>
            </w:r>
          </w:p>
        </w:tc>
      </w:tr>
      <w:tr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短期震荡（正常）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浮亏30-50万</w:t>
            </w:r>
          </w:p>
        </w:tc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-6%~-10%</w:t>
            </w:r>
          </w:p>
        </w:tc>
        <w:tc>
          <w:tcPr>
            <w:tcW w:w="1792" w:type="dxa"/>
            <w:tcW w:type="dxa" w:w="17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持有，按计划建仓</w:t>
            </w:r>
          </w:p>
        </w:tc>
      </w:tr>
      <w:tr>
        <w:tc>
          <w:tcPr>
            <w:tcW w:w="2268" w:type="dxa"/>
            <w:tcW w:type="dxa" w:w="226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阶段性大跌</w:t>
            </w:r>
          </w:p>
        </w:tc>
        <w:tc>
          <w:tcPr>
            <w:tcW w:w="1984" w:type="dxa"/>
            <w:tcW w:type="dxa" w:w="198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浮亏75-100万</w:t>
            </w:r>
          </w:p>
        </w:tc>
        <w:tc>
          <w:tcPr>
            <w:tcW w:w="2268" w:type="dxa"/>
            <w:tcW w:type="dxa" w:w="226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-15%~-20%</w:t>
            </w:r>
          </w:p>
        </w:tc>
        <w:tc>
          <w:tcPr>
            <w:tcW w:w="1792" w:type="dxa"/>
            <w:tcW w:type="dxa" w:w="179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启动50万加仓子弹</w:t>
            </w:r>
          </w:p>
        </w:tc>
      </w:tr>
      <w:tr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目标情景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盈利约125万</w:t>
            </w:r>
          </w:p>
        </w:tc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+25%（年化12%）</w:t>
            </w:r>
          </w:p>
        </w:tc>
        <w:tc>
          <w:tcPr>
            <w:tcW w:w="1792" w:type="dxa"/>
            <w:tcW w:type="dxa" w:w="17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期满前3个月分批落袋</w:t>
            </w:r>
          </w:p>
        </w:tc>
      </w:tr>
      <w:tr>
        <w:tc>
          <w:tcPr>
            <w:tcW w:w="2268" w:type="dxa"/>
            <w:tcW w:type="dxa" w:w="226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乐观情景</w:t>
            </w:r>
          </w:p>
        </w:tc>
        <w:tc>
          <w:tcPr>
            <w:tcW w:w="1984" w:type="dxa"/>
            <w:tcW w:type="dxa" w:w="1984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盈利约200万+</w:t>
            </w:r>
          </w:p>
        </w:tc>
        <w:tc>
          <w:tcPr>
            <w:tcW w:w="2268" w:type="dxa"/>
            <w:tcW w:type="dxa" w:w="2268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+40%（年化18%）</w:t>
            </w:r>
          </w:p>
        </w:tc>
        <w:tc>
          <w:tcPr>
            <w:tcW w:w="1792" w:type="dxa"/>
            <w:tcW w:type="dxa" w:w="1792"/>
            <w:shd w:val="clear" w:color="auto" w:fill="FDF6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A1A1A"/>
                <w:sz w:val="22"/>
              </w:rPr>
              <w:t>1.5年时评估提前止盈</w:t>
            </w:r>
          </w:p>
        </w:tc>
      </w:tr>
    </w:tbl>
    <w:p/>
    <w:p>
      <w:pPr>
        <w:spacing w:before="280" w:after="120"/>
        <w:pBdr>
          <w:left w:val="single" w:sz="12" w:space="4" w:color="B8860B"/>
        </w:pBdr>
      </w:pPr>
      <w:r>
        <w:rPr>
          <w:rFonts w:ascii="黑体" w:hAnsi="黑体" w:eastAsia="黑体"/>
          <w:b/>
          <w:color w:val="C0392B"/>
          <w:sz w:val="32"/>
        </w:rPr>
        <w:t>数据时效与免责</w:t>
      </w:r>
    </w:p>
    <w:p>
      <w:pPr>
        <w:spacing w:line="440" w:lineRule="exact" w:after="0"/>
      </w:pPr>
      <w:r>
        <w:rPr>
          <w:rFonts w:ascii="仿宋_GB2312" w:hAnsi="仿宋_GB2312" w:eastAsia="仿宋_GB2312"/>
          <w:color w:val="1A1A1A"/>
          <w:sz w:val="24"/>
        </w:rPr>
        <w:t>报告日期：2026年6月27日  |  案例编号：FA-20260627-PI002  |  适当性结果：PASS（R4）</w:t>
      </w:r>
    </w:p>
    <w:p>
      <w:pPr>
        <w:spacing w:line="440" w:lineRule="exact" w:after="0"/>
      </w:pPr>
      <w:r>
        <w:rPr>
          <w:rFonts w:ascii="仿宋_GB2312" w:hAnsi="仿宋_GB2312" w:eastAsia="仿宋_GB2312"/>
          <w:color w:val="1A1A1A"/>
          <w:sz w:val="24"/>
        </w:rPr>
        <w:t>⚠ 基金投资有风险，入市需谨慎。本一页纸仅供李永胜先生参考，不构成公开投资建议，过往业绩不代表未来表现。详见完整版报告。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312"/>
      </w:tabs>
    </w:pPr>
    <w:r>
      <w:rPr>
        <w:rFonts w:ascii="仿宋_GB2312" w:hAnsi="仿宋_GB2312" w:eastAsia="仿宋_GB2312"/>
        <w:color w:val="666666"/>
        <w:sz w:val="18"/>
      </w:rPr>
      <w:t>本报告仅供参考，不构成投资建议</w:t>
    </w:r>
    <w:r>
      <w:rPr>
        <w:sz w:val="18"/>
      </w:rPr>
      <w:tab/>
    </w: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8" w:space="1" w:color="C0392B"/>
      </w:pBdr>
    </w:pPr>
    <w:r>
      <w:rPr>
        <w:rFonts w:ascii="仿宋_GB2312" w:hAnsi="仿宋_GB2312" w:eastAsia="仿宋_GB2312"/>
        <w:color w:val="C0392B"/>
        <w:sz w:val="21"/>
      </w:rPr>
      <w:t>基金投资顾问团队  ·  FA-20260627-PI002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