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方正小标宋简体" w:hAnsi="方正小标宋简体" w:eastAsia="方正小标宋简体"/>
          <w:b/>
          <w:color w:val="C0392B"/>
          <w:sz w:val="48"/>
        </w:rPr>
        <w:t>定制基金组合推荐报告</w:t>
      </w:r>
    </w:p>
    <w:p>
      <w:pPr>
        <w:spacing w:before="40" w:after="240"/>
        <w:jc w:val="center"/>
      </w:pPr>
      <w:r>
        <w:rPr>
          <w:rFonts w:ascii="黑体" w:hAnsi="黑体" w:eastAsia="黑体"/>
          <w:color w:val="B8860B"/>
          <w:sz w:val="26"/>
        </w:rPr>
        <w:t>R4进取型  ·  500万元  ·  2年期  ·  李永胜先生  ·  2026年6月27日</w:t>
      </w:r>
    </w:p>
    <w:p>
      <w:pPr>
        <w:spacing w:before="0" w:after="20"/>
        <w:pBdr>
          <w:bottom w:val="single" w:sz="8" w:space="1" w:color="C0392B"/>
        </w:pBdr>
      </w:pPr>
    </w:p>
    <w:p>
      <w:pPr>
        <w:spacing w:before="0" w:after="20"/>
        <w:pBdr>
          <w:bottom w:val="single" w:sz="4" w:space="1" w:color="B8860B"/>
        </w:pBdr>
      </w:pP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第一章  客户画像与目标确认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在为您设计任何组合之前，我们首先需要建立清晰的客户画像——这决定了我们为什么选择这些基金，而不是其他的基金。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1.1  客户基本画像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984"/>
        <w:gridCol w:w="2552"/>
        <w:gridCol w:w="3776"/>
      </w:tblGrid>
      <w:tblGrid>
        <w:gridCol w:w="2771"/>
        <w:gridCol w:w="2771"/>
        <w:gridCol w:w="2771"/>
      </w:tblGrid>
      <w:tr>
        <w:tc>
          <w:tcPr>
            <w:tcW w:w="1984" w:type="dxa"/>
            <w:tcW w:type="dxa" w:w="2771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画像维度</w:t>
            </w:r>
          </w:p>
        </w:tc>
        <w:tc>
          <w:tcPr>
            <w:tcW w:w="2552" w:type="dxa"/>
            <w:tcW w:type="dxa" w:w="2771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您的情况</w:t>
            </w:r>
          </w:p>
        </w:tc>
        <w:tc>
          <w:tcPr>
            <w:tcW w:w="3776" w:type="dxa"/>
            <w:tcW w:type="dxa" w:w="2771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对组合设计的影响</w:t>
            </w:r>
          </w:p>
        </w:tc>
      </w:tr>
      <w:tr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资金量级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500万元（200万+档）</w:t>
            </w:r>
          </w:p>
        </w:tc>
        <w:tc>
          <w:tcPr>
            <w:tcW w:w="3776" w:type="dxa"/>
            <w:tcW w:type="dxa" w:w="37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达到机构级配置门槛，可做四层精细化布局</w:t>
            </w:r>
          </w:p>
        </w:tc>
      </w:tr>
      <w:tr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投资期限</w:t>
            </w:r>
          </w:p>
        </w:tc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2年（明确终点）</w:t>
            </w:r>
          </w:p>
        </w:tc>
        <w:tc>
          <w:tcPr>
            <w:tcW w:w="3776" w:type="dxa"/>
            <w:tcW w:type="dxa" w:w="3776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排除锁仓期&gt;1年产品，流动性优先</w:t>
            </w:r>
          </w:p>
        </w:tc>
      </w:tr>
      <w:tr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风险定级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R4 进取型</w:t>
            </w:r>
          </w:p>
        </w:tc>
        <w:tc>
          <w:tcPr>
            <w:tcW w:w="3776" w:type="dxa"/>
            <w:tcW w:type="dxa" w:w="37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权益仓可至80%，接受较大波动换高弹性</w:t>
            </w:r>
          </w:p>
        </w:tc>
      </w:tr>
      <w:tr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回撤承受</w:t>
            </w:r>
          </w:p>
        </w:tc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持有不动等待反弹（行为表述）</w:t>
            </w:r>
          </w:p>
        </w:tc>
        <w:tc>
          <w:tcPr>
            <w:tcW w:w="3776" w:type="dxa"/>
            <w:tcW w:type="dxa" w:w="3776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硬顶设-20%（约100万），超过触发评估</w:t>
            </w:r>
          </w:p>
        </w:tc>
      </w:tr>
      <w:tr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收益目标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2年累计25%+（年化12%+）</w:t>
            </w:r>
          </w:p>
        </w:tc>
        <w:tc>
          <w:tcPr>
            <w:tcW w:w="3776" w:type="dxa"/>
            <w:tcW w:type="dxa" w:w="37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需权益主仓+结构性机会共同驱动</w:t>
            </w:r>
          </w:p>
        </w:tc>
      </w:tr>
      <w:tr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持仓经验</w:t>
            </w:r>
          </w:p>
        </w:tc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仅有银行存款/理财/货基</w:t>
            </w:r>
          </w:p>
        </w:tc>
        <w:tc>
          <w:tcPr>
            <w:tcW w:w="3776" w:type="dxa"/>
            <w:tcW w:type="dxa" w:w="3776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⚠ 首次权益投资，需内置心理安全机制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1.2  首席顾问特别提示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李永胜先生过往持有存款、理财多年，从未经历过A股真实的-15%甚至-20%浮亏场景。账面亏损75万和账面亏损100万，与理论上「能接受」是两回事。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因此本组合特别设计两道保险：① 红利压舱仓（始终有稳定分红可见）；② 现金缓冲仓（下跌时有底气加仓而非恐慌）。这不是保守，而是对「拿得住」的专业诠释——因为拿得住，才能等到涨回来。</w:t>
      </w: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第二章  市场研判——为何现在是进取型布局的时机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市场研判是选择哪类基金的根基。我们不做「可能涨也可能跌」的模糊表达，只给明确标签与依据。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A1A1A"/>
          <w:sz w:val="24"/>
        </w:rPr>
        <w:t>市场状态标签：「结构性积极 · 震荡中枢上移」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418"/>
        <w:gridCol w:w="1134"/>
        <w:gridCol w:w="5760"/>
      </w:tblGrid>
      <w:tblGrid>
        <w:gridCol w:w="2771"/>
        <w:gridCol w:w="2771"/>
        <w:gridCol w:w="2771"/>
      </w:tblGrid>
      <w:tr>
        <w:tc>
          <w:tcPr>
            <w:tcW w:w="1418" w:type="dxa"/>
            <w:tcW w:type="dxa" w:w="2771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研判维度</w:t>
            </w:r>
          </w:p>
        </w:tc>
        <w:tc>
          <w:tcPr>
            <w:tcW w:w="1134" w:type="dxa"/>
            <w:tcW w:type="dxa" w:w="2771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标签</w:t>
            </w:r>
          </w:p>
        </w:tc>
        <w:tc>
          <w:tcPr>
            <w:tcW w:w="5760" w:type="dxa"/>
            <w:tcW w:type="dxa" w:w="2771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关键依据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政策面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✅ 积极</w:t>
            </w:r>
          </w:p>
        </w:tc>
        <w:tc>
          <w:tcPr>
            <w:tcW w:w="5760" w:type="dxa"/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十五五开局，1.3万亿超长期国债投新基建，证监会推动中长期资金入市，AI新质生产力为首要国策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宏观面</w:t>
            </w:r>
          </w:p>
        </w:tc>
        <w:tc>
          <w:tcPr>
            <w:tcW w:w="1134" w:type="dxa"/>
            <w:tcW w:type="dxa" w:w="113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⚠ 中性偏弱</w:t>
            </w:r>
          </w:p>
        </w:tc>
        <w:tc>
          <w:tcPr>
            <w:tcW w:w="5760" w:type="dxa"/>
            <w:tcW w:type="dxa" w:w="5760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5月制造业PMI 50.0临界扩张，经济保持扩张但动能边际放缓，内需修复仍需时间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资金面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⚠ 分化</w:t>
            </w:r>
          </w:p>
        </w:tc>
        <w:tc>
          <w:tcPr>
            <w:tcW w:w="5760" w:type="dxa"/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北向资金持续净流入，境外持有A股流通市值突破4万亿；但科技高位板块有获利了结压力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产业面</w:t>
            </w:r>
          </w:p>
        </w:tc>
        <w:tc>
          <w:tcPr>
            <w:tcW w:w="1134" w:type="dxa"/>
            <w:tcW w:type="dxa" w:w="113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✅ 强劲</w:t>
            </w:r>
          </w:p>
        </w:tc>
        <w:tc>
          <w:tcPr>
            <w:tcW w:w="5760" w:type="dxa"/>
            <w:tcW w:type="dxa" w:w="5760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AI算力需求爆发（半导体龙头上半年净利预增110%+），新能源出海（锂电出货量预增65%），两大主线业绩兑现加快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2.1  AI科技主线——景气高点尚未到来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2026年6月，AI基础设施投入仍处爆发期，全球头部云厂资本开支持续高强度推进。国产算力正迎来关键突破期，半导体国产替代、AI应用端批量爆发的条件逐渐成熟，是2年期最具确定性的结构主线。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2.2  新能源出海——第二增长曲线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锂电产业链景气持续向上（全年出货量预增65%），光伏出海、储能需求持续放量，与AI共同构成十五五规划两大产业支柱。在AI板块阶段性休整时，新能源可提供收益接力。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2.3  少数派风险观点（必须知悉）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美联储高利率若超预期持续，可能压制全球风险偏好；科技板块部分标的估值偏高，若业绩不及预期将面临较大调整；内需走弱风险存在，可能拖累消费与传统行业。以上风险均已在本组合中通过红利仓+现金缓冲进行对冲。</w:t>
      </w: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第三章  推荐组合设计——四层架构，各司其职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我们为李先生设计的组合遵循一个核心原则：在追求年化12%目标的同时，确保您能拿得住——因为只有拿得住，才能等到最终的收益。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3.1  组合架构总览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418"/>
        <w:gridCol w:w="1701"/>
        <w:gridCol w:w="2552"/>
        <w:gridCol w:w="1418"/>
        <w:gridCol w:w="1223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418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层级</w:t>
            </w:r>
          </w:p>
        </w:tc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占比/金额</w:t>
            </w:r>
          </w:p>
        </w:tc>
        <w:tc>
          <w:tcPr>
            <w:tcW w:w="2552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基金名称</w:t>
            </w:r>
          </w:p>
        </w:tc>
        <w:tc>
          <w:tcPr>
            <w:tcW w:w="1418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代码</w:t>
            </w:r>
          </w:p>
        </w:tc>
        <w:tc>
          <w:tcPr>
            <w:tcW w:w="1223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核心作用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核心层A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35% / 175万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富国创新科技A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016619</w:t>
            </w:r>
          </w:p>
        </w:tc>
        <w:tc>
          <w:tcPr>
            <w:tcW w:w="1223" w:type="dxa"/>
            <w:tcW w:type="dxa" w:w="122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主动精选，科技超额Alpha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核心层B</w:t>
            </w:r>
          </w:p>
        </w:tc>
        <w:tc>
          <w:tcPr>
            <w:tcW w:w="1701" w:type="dxa"/>
            <w:tcW w:type="dxa" w:w="1701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25% / 125万</w:t>
            </w:r>
          </w:p>
        </w:tc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易方达人工智能ETF联接A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012733</w:t>
            </w:r>
          </w:p>
        </w:tc>
        <w:tc>
          <w:tcPr>
            <w:tcW w:w="1223" w:type="dxa"/>
            <w:tcW w:type="dxa" w:w="1223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AI宽基Beta，透明可理解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卫星层C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20% / 100万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大成科技创新A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001654</w:t>
            </w:r>
          </w:p>
        </w:tc>
        <w:tc>
          <w:tcPr>
            <w:tcW w:w="1223" w:type="dxa"/>
            <w:tcW w:type="dxa" w:w="122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AI+新能源双线弹性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压舱层D</w:t>
            </w:r>
          </w:p>
        </w:tc>
        <w:tc>
          <w:tcPr>
            <w:tcW w:w="1701" w:type="dxa"/>
            <w:tcW w:type="dxa" w:w="1701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10% /  50万</w:t>
            </w:r>
          </w:p>
        </w:tc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中证红利ETF联接A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012643</w:t>
            </w:r>
          </w:p>
        </w:tc>
        <w:tc>
          <w:tcPr>
            <w:tcW w:w="1223" w:type="dxa"/>
            <w:tcW w:type="dxa" w:w="1223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高股息压舱，心理安全锚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流动性储备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10% /  50万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货币基金（原有渠道）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—</w:t>
            </w:r>
          </w:p>
        </w:tc>
        <w:tc>
          <w:tcPr>
            <w:tcW w:w="1223" w:type="dxa"/>
            <w:tcW w:type="dxa" w:w="122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加仓子弹，下跌&gt;-10%时启动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3.2  比例设计逻辑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核心层60%——AI科技是当前景气最明确的结构主线，主动+被动双核并用，兼顾超额收益（主动基金Alpha）与透明可理解（ETF让李先生知道钱在哪）。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卫星层20%——新能源出海是AI以外的第二增长曲线，双线布局防止单一赛道回撤拖垮全组合。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压舱层10%——红利仓不追求高收益，目标是「心理稳定器」。每季度分红进账，让李先生在科技仓下跌时仍能看到「有收益的那部分」，大幅降低底部恐慌赎回概率。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现金缓冲10%——这50万是战略子弹，不是闲置资金。当组合净值下跌超-10%时动用，此时李先生的心态是「主动逢低加仓」而非「被动等待解套」——一字之差，行为结果完全不同。</w:t>
      </w: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第四章  推荐基金详情与筛选依据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🔵  富国创新科技A（016619）——核心层A  35% / 175万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701"/>
        <w:gridCol w:w="1984"/>
        <w:gridCol w:w="1701"/>
        <w:gridCol w:w="2552"/>
        <w:gridCol w:w="374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基金类型</w:t>
            </w:r>
          </w:p>
        </w:tc>
        <w:tc>
          <w:tcPr>
            <w:tcW w:w="198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基金经理</w:t>
            </w:r>
          </w:p>
        </w:tc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2025年收益</w:t>
            </w:r>
          </w:p>
        </w:tc>
        <w:tc>
          <w:tcPr>
            <w:tcW w:w="2552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超额收益</w:t>
            </w:r>
          </w:p>
        </w:tc>
        <w:tc>
          <w:tcPr>
            <w:tcW w:w="37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管理规模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主动权益·科技成长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罗擎（长期在职）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+133.99%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同期基准+26.37%，超额+107%</w:t>
            </w:r>
          </w:p>
        </w:tc>
        <w:tc>
          <w:tcPr>
            <w:tcW w:w="374" w:type="dxa"/>
            <w:tcW w:type="dxa" w:w="37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约50亿（规模适中）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推荐理由：富国基金旗下老牌科技主动基金，经理罗擎长期专注TMT，具备全球产业链调研能力。2025年超额收益显著，更重要的是已主动将配置从海外算力拓宽至半导体国产替代+国产算力+AI应用三条线，说明经理不追涨、有前瞻调仓能力。规模约50亿，操作灵活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⚠ 风险提示：科技主题集中，历史最大回撤约-32%（2022年行业低谷）。短期可能有-20%至-25%的阶段性回撤，请做好心理准备。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🔵  易方达人工智能ETF联接A（012733）——核心层B  25% / 125万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701"/>
        <w:gridCol w:w="1984"/>
        <w:gridCol w:w="1984"/>
        <w:gridCol w:w="1701"/>
        <w:gridCol w:w="942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基金类型</w:t>
            </w:r>
          </w:p>
        </w:tc>
        <w:tc>
          <w:tcPr>
            <w:tcW w:w="198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管理规模</w:t>
            </w:r>
          </w:p>
        </w:tc>
        <w:tc>
          <w:tcPr>
            <w:tcW w:w="198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近一年收益</w:t>
            </w:r>
          </w:p>
        </w:tc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管理费率</w:t>
            </w:r>
          </w:p>
        </w:tc>
        <w:tc>
          <w:tcPr>
            <w:tcW w:w="942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跟踪指数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被动指数·AI主题ETF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222亿（流动性顶级）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+85.30%（截至2026年初）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0.5%（低费率）</w:t>
            </w:r>
          </w:p>
        </w:tc>
        <w:tc>
          <w:tcPr>
            <w:tcW w:w="942" w:type="dxa"/>
            <w:tcW w:type="dxa" w:w="94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中证人工智能主题指数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推荐理由：覆盖AI算力、算法模型、应用端全产业链，规模222亿，市场流动性居AI类ETF前列。作为被动产品，李先生可以随时看到持仓哪些公司，理解自己的钱在做什么——这对首次权益投资者非常重要，有助于在下跌时维持信心而非恐慌赎回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⚠ 风险提示：被动产品完全跟随指数，科技板块若系统性调整会完整承受跌幅，无主动基金经理的防御操作。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🟢  大成科技创新A（001654）——卫星层C  20% / 100万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984"/>
        <w:gridCol w:w="2268"/>
        <w:gridCol w:w="1701"/>
        <w:gridCol w:w="1984"/>
        <w:gridCol w:w="375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98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基金类型</w:t>
            </w:r>
          </w:p>
        </w:tc>
        <w:tc>
          <w:tcPr>
            <w:tcW w:w="2268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基金经理</w:t>
            </w:r>
          </w:p>
        </w:tc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2025年收益</w:t>
            </w:r>
          </w:p>
        </w:tc>
        <w:tc>
          <w:tcPr>
            <w:tcW w:w="198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成立以来收益</w:t>
            </w:r>
          </w:p>
        </w:tc>
        <w:tc>
          <w:tcPr>
            <w:tcW w:w="375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管理规模</w:t>
            </w:r>
          </w:p>
        </w:tc>
      </w:tr>
      <w:tr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主动权益·科技+先进制造</w:t>
            </w:r>
          </w:p>
        </w:tc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郭玮羚（2020年起稳定在职）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+123.09%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+200.03%（成立以来）</w:t>
            </w:r>
          </w:p>
        </w:tc>
        <w:tc>
          <w:tcPr>
            <w:tcW w:w="375" w:type="dxa"/>
            <w:tcW w:type="dxa" w:w="37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约30亿（规模适中）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推荐理由：横跨AI与新能源出海两大主线，在科技板块阶段性休整时新能源可接力，承接「第二增长曲线」功能。经理郭玮羚历经2021-2022年行业低谷仍在职，说明稳定性高、有周期管理经验。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⚠ 风险提示：新能源板块供给过剩压力仍存，历史最大回撤约-38%。此仓位为卫星层，严格控制在20%以内。</w:t>
      </w:r>
    </w:p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🟡  中证红利ETF联接A（012643）——压舱层D  10% / 50万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984"/>
        <w:gridCol w:w="1701"/>
        <w:gridCol w:w="1984"/>
        <w:gridCol w:w="1701"/>
        <w:gridCol w:w="942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98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基金类型</w:t>
            </w:r>
          </w:p>
        </w:tc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近3年年化</w:t>
            </w:r>
          </w:p>
        </w:tc>
        <w:tc>
          <w:tcPr>
            <w:tcW w:w="198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历史最大回撤</w:t>
            </w:r>
          </w:p>
        </w:tc>
        <w:tc>
          <w:tcPr>
            <w:tcW w:w="1701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分红频率</w:t>
            </w:r>
          </w:p>
        </w:tc>
        <w:tc>
          <w:tcPr>
            <w:tcW w:w="942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配置金额</w:t>
            </w:r>
          </w:p>
        </w:tc>
      </w:tr>
      <w:tr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被动指数·高股息红利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约6%~8%（估算）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-18%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季度分红</w:t>
            </w:r>
          </w:p>
        </w:tc>
        <w:tc>
          <w:tcPr>
            <w:tcW w:w="942" w:type="dxa"/>
            <w:tcW w:type="dxa" w:w="94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50万元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为什么进取型组合需要红利仓？这是本组合最具顾问智慧的设计：对于首次经历大波动的投资者，仅靠理性认知是不够的。当科技仓账面亏损时，您需要看到「还有50万是稳定的，每个季度还有分红进来」——这是心理安全锚，让您不会在最底部做出赎回的决定。同时，保险新规要求新增保费30%配置权益，高股息红利成为长期资金配置首选，本身具备基本面支撑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⚠ 风险提示：历史最大回撤约-18%，全面熊市中仍会下跌，但跌幅通常显著低于纯科技基金。</w:t>
      </w: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第五章  建仓节奏——分三个月，不一次押注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为什么不一次买入500万？因为没有人能预测任何一天是不是最佳买点。分批建仓，用时间分散点位风险，是对大额资金最负责任的操作方式。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134"/>
        <w:gridCol w:w="1418"/>
        <w:gridCol w:w="1418"/>
        <w:gridCol w:w="2552"/>
        <w:gridCol w:w="1790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134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批次</w:t>
            </w:r>
          </w:p>
        </w:tc>
        <w:tc>
          <w:tcPr>
            <w:tcW w:w="1418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时间建议</w:t>
            </w:r>
          </w:p>
        </w:tc>
        <w:tc>
          <w:tcPr>
            <w:tcW w:w="1418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买入金额</w:t>
            </w:r>
          </w:p>
        </w:tc>
        <w:tc>
          <w:tcPr>
            <w:tcW w:w="2552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各基金分配</w:t>
            </w:r>
          </w:p>
        </w:tc>
        <w:tc>
          <w:tcPr>
            <w:tcW w:w="1790" w:type="dxa"/>
            <w:tcW w:type="dxa" w:w="1662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设计理由</w:t>
            </w:r>
          </w:p>
        </w:tc>
      </w:tr>
      <w:tr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第1批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第1个月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150万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ETF联接A 50万</w:t>
              <w:br/>
              <w:t>红利ETF联接A 50万</w:t>
              <w:br/>
              <w:t>货基留存 50万</w:t>
            </w:r>
          </w:p>
        </w:tc>
        <w:tc>
          <w:tcPr>
            <w:tcW w:w="1790" w:type="dxa"/>
            <w:tcW w:type="dxa" w:w="179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先买最透明的ETF和红利，让李先生看得懂、心里稳，余350万放货基等时机</w:t>
            </w:r>
          </w:p>
        </w:tc>
      </w:tr>
      <w:tr>
        <w:tc>
          <w:tcPr>
            <w:tcW w:w="1134" w:type="dxa"/>
            <w:tcW w:type="dxa" w:w="113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第2批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第2个月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150万</w:t>
            </w:r>
          </w:p>
        </w:tc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富国创新科技A 100万</w:t>
              <w:br/>
              <w:t>大成科技创新A 50万</w:t>
            </w:r>
          </w:p>
        </w:tc>
        <w:tc>
          <w:tcPr>
            <w:tcW w:w="1790" w:type="dxa"/>
            <w:tcW w:type="dxa" w:w="1790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观察第一个月市场反应后加仓，若下跌则以更低成本买入</w:t>
            </w:r>
          </w:p>
        </w:tc>
      </w:tr>
      <w:tr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第3批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第3个月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200万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富国再买75万</w:t>
              <w:br/>
              <w:t>ETF联接A再买75万</w:t>
              <w:br/>
              <w:t>大成再买50万</w:t>
            </w:r>
          </w:p>
        </w:tc>
        <w:tc>
          <w:tcPr>
            <w:tcW w:w="1790" w:type="dxa"/>
            <w:tcW w:type="dxa" w:w="179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完成全仓，保留50万货基作为永久加仓子弹</w:t>
            </w:r>
          </w:p>
        </w:tc>
      </w:tr>
      <w:tr>
        <w:tc>
          <w:tcPr>
            <w:tcW w:w="1134" w:type="dxa"/>
            <w:tcW w:type="dxa" w:w="113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触发加仓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随时触发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最多50万</w:t>
            </w:r>
          </w:p>
        </w:tc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优先加仓富国或ETF联接A</w:t>
            </w:r>
          </w:p>
        </w:tc>
        <w:tc>
          <w:tcPr>
            <w:tcW w:w="1790" w:type="dxa"/>
            <w:tcW w:type="dxa" w:w="1790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组合净值下跌超-10%时启动，改变心态：从「恐慌等待」变「主动加仓」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建仓操作注意事项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三只主动基金均通过基金公司官网或主流平台（天天基金、支付宝、招商银行APP等）直接申购，ETF联接基金无需开通股票账户，普通基金账户即可操作。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建仓过程中不追涨——若某只基金单月涨幅超20%，当月暂缓该基金买入，等待回调再入场。</w:t>
      </w: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第六章  风险揭示——最坏场景下，具体会发生什么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我们不回避风险，因为只有充分了解风险，您才能在真实面对它时保持冷静。以下是基于历史数据和当前市场的估算——请注意，这些是可能发生的情景，不是预测。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2552"/>
        <w:gridCol w:w="1984"/>
        <w:gridCol w:w="1984"/>
        <w:gridCol w:w="1792"/>
      </w:tblGrid>
      <w:tblGrid>
        <w:gridCol w:w="2078"/>
        <w:gridCol w:w="2078"/>
        <w:gridCol w:w="2078"/>
        <w:gridCol w:w="2078"/>
      </w:tblGrid>
      <w:tr>
        <w:tc>
          <w:tcPr>
            <w:tcW w:w="2552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风险情景</w:t>
            </w:r>
          </w:p>
        </w:tc>
        <w:tc>
          <w:tcPr>
            <w:tcW w:w="1984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账户影响（金额）</w:t>
            </w:r>
          </w:p>
        </w:tc>
        <w:tc>
          <w:tcPr>
            <w:tcW w:w="1984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影响（比例）</w:t>
            </w:r>
          </w:p>
        </w:tc>
        <w:tc>
          <w:tcPr>
            <w:tcW w:w="1792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建议操作</w:t>
            </w:r>
          </w:p>
        </w:tc>
      </w:tr>
      <w:tr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短期震荡（正常波动）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浮亏约30-50万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-6%~-10%</w:t>
            </w:r>
          </w:p>
        </w:tc>
        <w:tc>
          <w:tcPr>
            <w:tcW w:w="1792" w:type="dxa"/>
            <w:tcW w:type="dxa" w:w="17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正常，持有，按计划建仓</w:t>
            </w:r>
          </w:p>
        </w:tc>
      </w:tr>
      <w:tr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阶段性大跌（市场风险偏好下降）</w:t>
            </w:r>
          </w:p>
        </w:tc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浮亏约75-100万</w:t>
            </w:r>
          </w:p>
        </w:tc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-15%~-20%</w:t>
            </w:r>
          </w:p>
        </w:tc>
        <w:tc>
          <w:tcPr>
            <w:tcW w:w="1792" w:type="dxa"/>
            <w:tcW w:type="dxa" w:w="179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启动现金缓冲50万加仓</w:t>
            </w:r>
          </w:p>
        </w:tc>
      </w:tr>
      <w:tr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极端市场（黑天鹅）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浮亏超110万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超-22%</w:t>
            </w:r>
          </w:p>
        </w:tc>
        <w:tc>
          <w:tcPr>
            <w:tcW w:w="1792" w:type="dxa"/>
            <w:tcW w:type="dxa" w:w="17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顾问与您联系，讨论减仓或持有</w:t>
            </w:r>
          </w:p>
        </w:tc>
      </w:tr>
      <w:tr>
        <w:tc>
          <w:tcPr>
            <w:tcW w:w="2552" w:type="dxa"/>
            <w:tcW w:type="dxa" w:w="255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目标情景（主线持续景气）</w:t>
            </w:r>
          </w:p>
        </w:tc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盈利约125万</w:t>
            </w:r>
          </w:p>
        </w:tc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+25%（年化12%）</w:t>
            </w:r>
          </w:p>
        </w:tc>
        <w:tc>
          <w:tcPr>
            <w:tcW w:w="1792" w:type="dxa"/>
            <w:tcW w:type="dxa" w:w="179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期满前3个月分批落袋</w:t>
            </w:r>
          </w:p>
        </w:tc>
      </w:tr>
      <w:tr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乐观情景（AI+新能源双爆发）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盈利约200万+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+40%（年化18%）</w:t>
            </w:r>
          </w:p>
        </w:tc>
        <w:tc>
          <w:tcPr>
            <w:tcW w:w="1792" w:type="dxa"/>
            <w:tcW w:type="dxa" w:w="17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1.5年时评估提前止盈部分仓位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color w:val="B8860B"/>
          <w:sz w:val="28"/>
        </w:rPr>
        <w:t>最重要的风险管理建议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请在买入前，在脑海中模拟一遍「账户显示亏损75万」时您的第一反应。如果那一刻有强烈赎回冲动，请立即告知我们，我们可以将权益仓位降至60%，重新设计更适合您的方案。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不要每天看账户——建议每周看一次，每月做一次回顾。科技基金单日波动±3%是正常现象，频繁关注只会放大情绪。2年期满前，无论账面盈亏，请先与顾问确认是否到了兑现时机，不要因为贪心多持而错过锁定收益的窗口。</w:t>
      </w: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附录  关键假设与数据时效声明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A1A1A"/>
          <w:sz w:val="24"/>
        </w:rPr>
        <w:t>本附录依据 fund-advisor-team v2.1 规范强制附加，不得删减。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2268"/>
        <w:gridCol w:w="6044"/>
      </w:tblGrid>
      <w:tblGrid>
        <w:gridCol w:w="4156"/>
        <w:gridCol w:w="4156"/>
      </w:tblGrid>
      <w:tr>
        <w:tc>
          <w:tcPr>
            <w:tcW w:w="2268" w:type="dxa"/>
            <w:tcW w:type="dxa" w:w="4156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项目</w:t>
            </w:r>
          </w:p>
        </w:tc>
        <w:tc>
          <w:tcPr>
            <w:tcW w:w="6044" w:type="dxa"/>
            <w:tcW w:type="dxa" w:w="4156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报告出具日期</w:t>
            </w:r>
          </w:p>
        </w:tc>
        <w:tc>
          <w:tcPr>
            <w:tcW w:w="6044" w:type="dxa"/>
            <w:tcW w:type="dxa" w:w="60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2026年6月27日</w:t>
            </w:r>
          </w:p>
        </w:tc>
      </w:tr>
      <w:tr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市场数据截至</w:t>
            </w:r>
          </w:p>
        </w:tc>
        <w:tc>
          <w:tcPr>
            <w:tcW w:w="6044" w:type="dxa"/>
            <w:tcW w:type="dxa" w:w="604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2026年6月27日（部分引用数据截至6月20日）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基金业绩来源</w:t>
            </w:r>
          </w:p>
        </w:tc>
        <w:tc>
          <w:tcPr>
            <w:tcW w:w="6044" w:type="dxa"/>
            <w:tcW w:type="dxa" w:w="60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东方财富、天天基金、富国基金公告、Wind（公开市场数据）；过往业绩不代表未来表现</w:t>
            </w:r>
          </w:p>
        </w:tc>
      </w:tr>
      <w:tr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收益预测依据</w:t>
            </w:r>
          </w:p>
        </w:tc>
        <w:tc>
          <w:tcPr>
            <w:tcW w:w="6044" w:type="dxa"/>
            <w:tcW w:type="dxa" w:w="604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基于同类历史组合表现的区间估算，非精确预测；实际收益可能显著偏离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回撤估算方法</w:t>
            </w:r>
          </w:p>
        </w:tc>
        <w:tc>
          <w:tcPr>
            <w:tcW w:w="6044" w:type="dxa"/>
            <w:tcW w:type="dxa" w:w="60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各层历史最大回撤加权估算，乘以相关性折减系数；极端市场下相关性趋近1，实际回撤可能更大</w:t>
            </w:r>
          </w:p>
        </w:tc>
      </w:tr>
      <w:tr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适当性说明</w:t>
            </w:r>
          </w:p>
        </w:tc>
        <w:tc>
          <w:tcPr>
            <w:tcW w:w="6044" w:type="dxa"/>
            <w:tcW w:type="dxa" w:w="604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客户李永胜先生经顾问评估定级R4，所有推荐产品风险等级≤R4，适当性校验结果：PASS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案例编号</w:t>
            </w:r>
          </w:p>
        </w:tc>
        <w:tc>
          <w:tcPr>
            <w:tcW w:w="6044" w:type="dxa"/>
            <w:tcW w:type="dxa" w:w="60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FA-20260627-PI002</w:t>
            </w:r>
          </w:p>
        </w:tc>
      </w:tr>
      <w:tr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免责声明</w:t>
            </w:r>
          </w:p>
        </w:tc>
        <w:tc>
          <w:tcPr>
            <w:tcW w:w="6044" w:type="dxa"/>
            <w:tcW w:type="dxa" w:w="604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本报告仅供李永胜先生本人参考，不构成公开投资建议，不具有法律约束力。基金投资有风险，入市需谨慎，投资者应根据自身情况独立决策。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312"/>
      </w:tabs>
    </w:pPr>
    <w:r>
      <w:rPr>
        <w:rFonts w:ascii="仿宋_GB2312" w:hAnsi="仿宋_GB2312" w:eastAsia="仿宋_GB2312"/>
        <w:color w:val="666666"/>
        <w:sz w:val="18"/>
      </w:rPr>
      <w:t>本报告仅供参考，不构成投资建议</w:t>
    </w:r>
    <w:r>
      <w:rPr>
        <w:sz w:val="18"/>
      </w:rPr>
      <w:tab/>
    </w: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space="1" w:color="C0392B"/>
      </w:pBdr>
    </w:pPr>
    <w:r>
      <w:rPr>
        <w:rFonts w:ascii="仿宋_GB2312" w:hAnsi="仿宋_GB2312" w:eastAsia="仿宋_GB2312"/>
        <w:color w:val="C0392B"/>
        <w:sz w:val="21"/>
      </w:rPr>
      <w:t>基金投资顾问团队  ·  FA-20260627-PI002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