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20" w:space="1" w:color="2C3E50"/>
        </w:pBdr>
      </w:pPr>
    </w:p>
    <w:p>
      <w:pPr>
        <w:pBdr>
          <w:bottom w:val="single" w:sz="6" w:space="1" w:color="E67E22"/>
        </w:pBdr>
        <w:spacing w:before="400" w:after="120"/>
        <w:jc w:val="left"/>
      </w:pPr>
      <w:r>
        <w:rPr>
          <w:rFonts w:ascii="微软雅黑" w:hAnsi="微软雅黑" w:eastAsia="微软雅黑"/>
          <w:b/>
          <w:color w:val="2C3E50"/>
          <w:sz w:val="48"/>
        </w:rPr>
        <w:t>基金投资组合推荐报告</w:t>
      </w:r>
    </w:p>
    <w:p>
      <w:pPr>
        <w:spacing w:before="80" w:after="120"/>
        <w:jc w:val="left"/>
      </w:pPr>
      <w:r>
        <w:rPr>
          <w:rFonts w:ascii="微软雅黑" w:hAnsi="微软雅黑" w:eastAsia="微软雅黑"/>
          <w:color w:val="E67E22"/>
          <w:sz w:val="28"/>
        </w:rPr>
        <w:t>稳健型  ·  100万元  ·  3年投资期</w:t>
      </w:r>
    </w:p>
    <w:p>
      <w:pPr>
        <w:spacing w:before="120" w:after="320"/>
        <w:jc w:val="left"/>
      </w:pPr>
      <w:r>
        <w:rPr>
          <w:rFonts w:ascii="微软雅黑" w:hAnsi="微软雅黑" w:eastAsia="微软雅黑"/>
          <w:color w:val="5D6D7E"/>
          <w:sz w:val="21"/>
        </w:rPr>
        <w:t>委托方：张女士   ·   报告日期：2026年07月27日</w:t>
      </w:r>
    </w:p>
    <w:p>
      <w:pPr>
        <w:pBdr>
          <w:left w:val="single" w:sz="16" w:space="4" w:color="E67E22"/>
        </w:pBdr>
        <w:spacing w:before="320" w:after="120"/>
        <w:outlineLvl w:val="0"/>
      </w:pPr>
      <w:r>
        <w:rPr>
          <w:rFonts w:ascii="微软雅黑" w:hAnsi="微软雅黑" w:eastAsia="微软雅黑"/>
          <w:b/>
          <w:color w:val="2C3E50"/>
          <w:sz w:val="32"/>
        </w:rPr>
        <w:t>第一章  市场在哪里——我们看到了什么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当前存在流动性收紧或经济下行压力，建议降低权益仓位，增配防御性资产。固收类和黄金的比例可适当提高，权益类偏配置下限。</w:t>
      </w:r>
    </w:p>
    <w:p>
      <w:pPr>
        <w:spacing w:before="200" w:after="80"/>
        <w:outlineLvl w:val="1"/>
      </w:pPr>
      <w:r>
        <w:rPr>
          <w:rFonts w:ascii="微软雅黑" w:hAnsi="微软雅黑" w:eastAsia="微软雅黑"/>
          <w:b/>
          <w:color w:val="E67E22"/>
          <w:sz w:val="28"/>
        </w:rPr>
        <w:t>市场状态标签：谨慎</w:t>
      </w:r>
    </w:p>
    <w:tbl>
      <w:tblPr>
        <w:tblStyle w:val="TableGrid"/>
        <w:tblW w:type="dxa" w:w="8312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2"/>
        <w:gridCol w:w="4059"/>
      </w:tblGrid>
      <w:tr>
        <w:tc>
          <w:tcPr>
            <w:tcW w:type="dxa" w:w="1701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552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当前状态</w:t>
            </w:r>
          </w:p>
        </w:tc>
        <w:tc>
          <w:tcPr>
            <w:tcW w:type="dxa" w:w="4059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对组合的影响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流动性环境</w:t>
            </w:r>
          </w:p>
        </w:tc>
        <w:tc>
          <w:tcPr>
            <w:tcW w:type="dxa" w:w="2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偏紧（10年期国债1.7282%）</w:t>
            </w:r>
          </w:p>
        </w:tc>
        <w:tc>
          <w:tcPr>
            <w:tcW w:type="dxa" w:w="405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权益仓位偏下限</w:t>
            </w:r>
          </w:p>
        </w:tc>
      </w:tr>
      <w:tr>
        <w:tc>
          <w:tcPr>
            <w:tcW w:type="dxa" w:w="170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经济周期</w:t>
            </w:r>
          </w:p>
        </w:tc>
        <w:tc>
          <w:tcPr>
            <w:tcW w:type="dxa" w:w="2552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消费/投资承压</w:t>
            </w:r>
          </w:p>
        </w:tc>
        <w:tc>
          <w:tcPr>
            <w:tcW w:type="dxa" w:w="4059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增配防御性资产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政策导向</w:t>
            </w:r>
          </w:p>
        </w:tc>
        <w:tc>
          <w:tcPr>
            <w:tcW w:type="dxa" w:w="2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稳增长为主</w:t>
            </w:r>
          </w:p>
        </w:tc>
        <w:tc>
          <w:tcPr>
            <w:tcW w:type="dxa" w:w="405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关注高股息/固收+</w:t>
            </w:r>
          </w:p>
        </w:tc>
      </w:tr>
    </w:tbl>
    <w:p>
      <w:pPr>
        <w:spacing w:before="120" w:after="200"/>
      </w:pP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E67E22"/>
          <w:sz w:val="24"/>
        </w:rPr>
        <w:t>核心判断：在低利率环境下（10年期国债 1.7282%），纯债收益约3.7%（核心层历史年化，2022-02-23 ~ 2026-07-24），难以完成6%+目标；权益市场震荡为主；约75万亿居民存款正在搬家，固收+是最主流承接产品，方向正确，时机合理。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【数据来源】宏观常量来自 market_inputs.json，截止日 2026-07-24，数据源：akshare bond_zh_us_rate / 人工核对。</w:t>
      </w:r>
    </w:p>
    <w:p>
      <w:pPr>
        <w:pBdr>
          <w:left w:val="single" w:sz="16" w:space="4" w:color="E67E22"/>
        </w:pBdr>
        <w:spacing w:before="320" w:after="120"/>
        <w:outlineLvl w:val="0"/>
      </w:pPr>
      <w:r>
        <w:rPr>
          <w:rFonts w:ascii="微软雅黑" w:hAnsi="微软雅黑" w:eastAsia="微软雅黑"/>
          <w:b/>
          <w:color w:val="2C3E50"/>
          <w:sz w:val="32"/>
        </w:rPr>
        <w:t>第二章  什么都不做的代价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存款利率已普遍降至1%以下，中长期定存到期后没有好去处。以100万元为例，若继续存定期（年化约1%），扣除通胀（2%假设）后，3年实际购买力将缩水约3%-5%，即损失约3-5万元。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E67E22"/>
          <w:sz w:val="24"/>
        </w:rPr>
        <w:t>反之，本组合历史年化约4.7%（历史年化，2022-02-23 ~ 2026-07-24），远期中性估计约6.0%（远期中性估计，Σ 权重×资产大类CMA；CMA为假设值，需按当前利率/估值定期复核）。「不做决策」本身就是一个代价高昂的决策。</w:t>
      </w:r>
    </w:p>
    <w:tbl>
      <w:tblPr>
        <w:tblStyle w:val="TableGrid"/>
        <w:tblW w:type="dxa" w:w="8312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84"/>
        <w:gridCol w:w="2268"/>
        <w:gridCol w:w="2359"/>
      </w:tblGrid>
      <w:tr>
        <w:tc>
          <w:tcPr>
            <w:tcW w:type="dxa" w:w="1701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方案</w:t>
            </w:r>
          </w:p>
        </w:tc>
        <w:tc>
          <w:tcPr>
            <w:tcW w:type="dxa" w:w="1984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年化收益</w:t>
            </w:r>
          </w:p>
        </w:tc>
        <w:tc>
          <w:tcPr>
            <w:tcW w:type="dxa" w:w="2268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3年后账面（约，基于100万元）</w:t>
            </w:r>
          </w:p>
        </w:tc>
        <w:tc>
          <w:tcPr>
            <w:tcW w:type="dxa" w:w="2359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继续存定期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约1%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100万元（不变）</w:t>
            </w:r>
          </w:p>
        </w:tc>
        <w:tc>
          <w:tcPr>
            <w:tcW w:type="dxa" w:w="235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跑不赢通胀，实际缩水</w:t>
            </w:r>
          </w:p>
        </w:tc>
      </w:tr>
      <w:tr>
        <w:tc>
          <w:tcPr>
            <w:tcW w:type="dxa" w:w="170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本推荐组合（历史口径）</w:t>
            </w:r>
          </w:p>
        </w:tc>
        <w:tc>
          <w:tcPr>
            <w:tcW w:type="dxa" w:w="1984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4.7%（历史年化，2022-02-23 ~ 2026-07-24）</w:t>
            </w:r>
          </w:p>
        </w:tc>
        <w:tc>
          <w:tcPr>
            <w:tcW w:type="dxa" w:w="2268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约114.7万元~117.8万元</w:t>
            </w:r>
          </w:p>
        </w:tc>
        <w:tc>
          <w:tcPr>
            <w:tcW w:type="dxa" w:w="2359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历史年化2022-02-23 ~ 2026-07-24实测，非未来保证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本推荐组合（远期估计）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6.0%（远期中性估计，Σ 权重×资产大类CMA；CMA为假设值，需按当前利率/估值定期复核）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（详见完整版报告远期估计）</w:t>
            </w:r>
          </w:p>
        </w:tc>
        <w:tc>
          <w:tcPr>
            <w:tcW w:type="dxa" w:w="2359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历史表现不代表未来；相关性在危机期会上行；远期估计基于显式CMA假设。</w:t>
            </w:r>
          </w:p>
        </w:tc>
      </w:tr>
    </w:tbl>
    <w:p>
      <w:pPr>
        <w:spacing w:before="120" w:after="200"/>
      </w:pP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【数据来源】以上数字由投资组合量化模型基于成份基金历史净值序列测算，数据截止 2026-07-27。历史表现不代表未来，本数字为历史实测结果，非收益承诺。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【远期估计】远期收益为估算值，存在不确定性，仅供参考。</w:t>
      </w:r>
    </w:p>
    <w:p>
      <w:pPr>
        <w:pBdr>
          <w:left w:val="single" w:sz="16" w:space="4" w:color="E67E22"/>
        </w:pBdr>
        <w:spacing w:before="320" w:after="120"/>
        <w:outlineLvl w:val="0"/>
      </w:pPr>
      <w:r>
        <w:rPr>
          <w:rFonts w:ascii="微软雅黑" w:hAnsi="微软雅黑" w:eastAsia="微软雅黑"/>
          <w:b/>
          <w:color w:val="2C3E50"/>
          <w:sz w:val="32"/>
        </w:rPr>
        <w:t>第三章  我们怎么选——筛选标准透明化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基于您的稳健型风险偏好，我们从五个维度对候选基金进行量化评分筛选，硬性排除基金经理离任&lt;6个月、规模&lt;2亿、成立&lt;1年的产品：</w:t>
      </w:r>
    </w:p>
    <w:tbl>
      <w:tblPr>
        <w:tblStyle w:val="TableGrid"/>
        <w:tblW w:type="dxa" w:w="8312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5477"/>
      </w:tblGrid>
      <w:tr>
        <w:tc>
          <w:tcPr>
            <w:tcW w:type="dxa" w:w="1701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筛选维度</w:t>
            </w:r>
          </w:p>
        </w:tc>
        <w:tc>
          <w:tcPr>
            <w:tcW w:type="dxa" w:w="1134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权重</w:t>
            </w:r>
          </w:p>
        </w:tc>
        <w:tc>
          <w:tcPr>
            <w:tcW w:type="dxa" w:w="5477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核心指标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基金经理能力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30%</w:t>
            </w:r>
          </w:p>
        </w:tc>
        <w:tc>
          <w:tcPr>
            <w:tcW w:type="dxa" w:w="5477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任职≥3年 / 牛熊各一轮表现 / 换手率控制</w:t>
            </w:r>
          </w:p>
        </w:tc>
      </w:tr>
      <w:tr>
        <w:tc>
          <w:tcPr>
            <w:tcW w:type="dxa" w:w="170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历史业绩质量</w:t>
            </w:r>
          </w:p>
        </w:tc>
        <w:tc>
          <w:tcPr>
            <w:tcW w:type="dxa" w:w="1134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25%</w:t>
            </w:r>
          </w:p>
        </w:tc>
        <w:tc>
          <w:tcPr>
            <w:tcW w:type="dxa" w:w="5477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近3/5年年化收益 / 相对基准超额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回撤控制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20%</w:t>
            </w:r>
          </w:p>
        </w:tc>
        <w:tc>
          <w:tcPr>
            <w:tcW w:type="dxa" w:w="5477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最大回撤 / 夏普比率 / 卡玛比率</w:t>
            </w:r>
          </w:p>
        </w:tc>
      </w:tr>
      <w:tr>
        <w:tc>
          <w:tcPr>
            <w:tcW w:type="dxa" w:w="170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规模与流动性</w:t>
            </w:r>
          </w:p>
        </w:tc>
        <w:tc>
          <w:tcPr>
            <w:tcW w:type="dxa" w:w="1134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15%</w:t>
            </w:r>
          </w:p>
        </w:tc>
        <w:tc>
          <w:tcPr>
            <w:tcW w:type="dxa" w:w="5477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规模合理区间 / 日均申赎畅通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费率结构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10%</w:t>
            </w:r>
          </w:p>
        </w:tc>
        <w:tc>
          <w:tcPr>
            <w:tcW w:type="dxa" w:w="5477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管理费+托管费总负担最小化</w:t>
            </w:r>
          </w:p>
        </w:tc>
      </w:tr>
    </w:tbl>
    <w:p>
      <w:pPr>
        <w:spacing w:before="120" w:after="200"/>
      </w:pPr>
    </w:p>
    <w:p>
      <w:pPr>
        <w:spacing w:before="200" w:after="80"/>
        <w:outlineLvl w:val="1"/>
      </w:pPr>
      <w:r>
        <w:rPr>
          <w:rFonts w:ascii="微软雅黑" w:hAnsi="微软雅黑" w:eastAsia="微软雅黑"/>
          <w:b/>
          <w:color w:val="E67E22"/>
          <w:sz w:val="28"/>
        </w:rPr>
        <w:t>推荐基金明细</w:t>
      </w:r>
    </w:p>
    <w:tbl>
      <w:tblPr>
        <w:tblStyle w:val="TableGrid"/>
        <w:tblW w:type="dxa" w:w="8312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50"/>
        <w:gridCol w:w="1021"/>
        <w:gridCol w:w="1021"/>
        <w:gridCol w:w="1021"/>
        <w:gridCol w:w="1247"/>
        <w:gridCol w:w="1451"/>
      </w:tblGrid>
      <w:tr>
        <w:tc>
          <w:tcPr>
            <w:tcW w:type="dxa" w:w="1701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基金名称</w:t>
            </w:r>
          </w:p>
        </w:tc>
        <w:tc>
          <w:tcPr>
            <w:tcW w:type="dxa" w:w="850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代码</w:t>
            </w:r>
          </w:p>
        </w:tc>
        <w:tc>
          <w:tcPr>
            <w:tcW w:type="dxa" w:w="1021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1021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近3年年化</w:t>
            </w:r>
          </w:p>
        </w:tc>
        <w:tc>
          <w:tcPr>
            <w:tcW w:type="dxa" w:w="1021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最大回撤</w:t>
            </w:r>
          </w:p>
        </w:tc>
        <w:tc>
          <w:tcPr>
            <w:tcW w:type="dxa" w:w="1247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占比/金额</w:t>
            </w:r>
          </w:p>
        </w:tc>
        <w:tc>
          <w:tcPr>
            <w:tcW w:type="dxa" w:w="1451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核心亮点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博时稳健回报债券(LOF)A</w:t>
            </w:r>
          </w:p>
        </w:tc>
        <w:tc>
          <w:tcPr>
            <w:tcW w:type="dxa" w:w="85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160513</w:t>
            </w:r>
          </w:p>
        </w:tc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债券型-混合一级</w:t>
            </w:r>
          </w:p>
        </w:tc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+4.08%</w:t>
            </w:r>
          </w:p>
        </w:tc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-2.72%</w:t>
            </w:r>
          </w:p>
        </w:tc>
        <w:tc>
          <w:tcPr>
            <w:tcW w:type="dxa" w:w="1247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32% / 32万元</w:t>
            </w:r>
          </w:p>
        </w:tc>
        <w:tc>
          <w:tcPr>
            <w:tcW w:type="dxa" w:w="145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成立15年，近3年同类前16%（99/649），年化波动2.31%，低波压舱石</w:t>
            </w:r>
          </w:p>
        </w:tc>
      </w:tr>
      <w:tr>
        <w:tc>
          <w:tcPr>
            <w:tcW w:type="dxa" w:w="170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博时恒泰债券A</w:t>
            </w:r>
          </w:p>
        </w:tc>
        <w:tc>
          <w:tcPr>
            <w:tcW w:type="dxa" w:w="850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011864</w:t>
            </w:r>
          </w:p>
        </w:tc>
        <w:tc>
          <w:tcPr>
            <w:tcW w:type="dxa" w:w="102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债券型-混合二级</w:t>
            </w:r>
          </w:p>
        </w:tc>
        <w:tc>
          <w:tcPr>
            <w:tcW w:type="dxa" w:w="102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+4.10%</w:t>
            </w:r>
          </w:p>
        </w:tc>
        <w:tc>
          <w:tcPr>
            <w:tcW w:type="dxa" w:w="102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-2.53%</w:t>
            </w:r>
          </w:p>
        </w:tc>
        <w:tc>
          <w:tcPr>
            <w:tcW w:type="dxa" w:w="1247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43% / 43万元</w:t>
            </w:r>
          </w:p>
        </w:tc>
        <w:tc>
          <w:tcPr>
            <w:tcW w:type="dxa" w:w="145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二级债基，含约9.4%权益持仓（非纯债），年化波动2.47%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招商中证红利ETF联接A</w:t>
            </w:r>
          </w:p>
        </w:tc>
        <w:tc>
          <w:tcPr>
            <w:tcW w:type="dxa" w:w="85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012643</w:t>
            </w:r>
          </w:p>
        </w:tc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指数型-股票</w:t>
            </w:r>
          </w:p>
        </w:tc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+5.14%</w:t>
            </w:r>
          </w:p>
        </w:tc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-13.53%</w:t>
            </w:r>
          </w:p>
        </w:tc>
        <w:tc>
          <w:tcPr>
            <w:tcW w:type="dxa" w:w="1247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20% / 20万元</w:t>
            </w:r>
          </w:p>
        </w:tc>
        <w:tc>
          <w:tcPr>
            <w:tcW w:type="dxa" w:w="145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高股息低估值，权益弹性来源；近1年为-0.89%，弹性尚未兑现</w:t>
            </w:r>
          </w:p>
        </w:tc>
      </w:tr>
      <w:tr>
        <w:tc>
          <w:tcPr>
            <w:tcW w:type="dxa" w:w="170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华安黄金ETF联接A</w:t>
            </w:r>
          </w:p>
        </w:tc>
        <w:tc>
          <w:tcPr>
            <w:tcW w:type="dxa" w:w="850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000216</w:t>
            </w:r>
          </w:p>
        </w:tc>
        <w:tc>
          <w:tcPr>
            <w:tcW w:type="dxa" w:w="102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指数型-其他</w:t>
            </w:r>
          </w:p>
        </w:tc>
        <w:tc>
          <w:tcPr>
            <w:tcW w:type="dxa" w:w="102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+23.06%</w:t>
            </w:r>
          </w:p>
        </w:tc>
        <w:tc>
          <w:tcPr>
            <w:tcW w:type="dxa" w:w="102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-29.98%</w:t>
            </w:r>
          </w:p>
        </w:tc>
        <w:tc>
          <w:tcPr>
            <w:tcW w:type="dxa" w:w="1247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5% / 5万元</w:t>
            </w:r>
          </w:p>
        </w:tc>
        <w:tc>
          <w:tcPr>
            <w:tcW w:type="dxa" w:w="145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与股债低相关(0.17~0.27)，但自身年化波动17.74%，为收益增强项而非降波工具</w:t>
            </w:r>
          </w:p>
        </w:tc>
      </w:tr>
    </w:tbl>
    <w:p>
      <w:pPr>
        <w:spacing w:before="120" w:after="200"/>
      </w:pPr>
    </w:p>
    <w:p>
      <w:pPr>
        <w:pBdr>
          <w:left w:val="single" w:sz="16" w:space="4" w:color="E67E22"/>
        </w:pBdr>
        <w:spacing w:before="320" w:after="120"/>
        <w:outlineLvl w:val="0"/>
      </w:pPr>
      <w:r>
        <w:rPr>
          <w:rFonts w:ascii="微软雅黑" w:hAnsi="微软雅黑" w:eastAsia="微软雅黑"/>
          <w:b/>
          <w:color w:val="2C3E50"/>
          <w:sz w:val="32"/>
        </w:rPr>
        <w:t>第四章  组合是怎么搭的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基于稳健型投资者标准框架，本组合采用「核心+卫星+对冲」三层架构，最大回撤硬约束-10%，权益敞口不超过20%：</w:t>
      </w:r>
    </w:p>
    <w:tbl>
      <w:tblPr>
        <w:tblStyle w:val="TableGrid"/>
        <w:tblW w:type="dxa" w:w="8312"/>
        <w:jc w:val="center"/>
        <w:tblLayout w:type="fixed"/>
        <w:tblLook w:firstColumn="1" w:firstRow="1" w:lastColumn="0" w:lastRow="0" w:noHBand="0" w:noVBand="1" w:val="04A0"/>
      </w:tblPr>
      <w:tblGrid>
        <w:gridCol w:w="1021"/>
        <w:gridCol w:w="1418"/>
        <w:gridCol w:w="1984"/>
        <w:gridCol w:w="1134"/>
        <w:gridCol w:w="2755"/>
      </w:tblGrid>
      <w:tr>
        <w:tc>
          <w:tcPr>
            <w:tcW w:type="dxa" w:w="1021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1418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占比/金额</w:t>
            </w:r>
          </w:p>
        </w:tc>
        <w:tc>
          <w:tcPr>
            <w:tcW w:type="dxa" w:w="1984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基金名称</w:t>
            </w:r>
          </w:p>
        </w:tc>
        <w:tc>
          <w:tcPr>
            <w:tcW w:type="dxa" w:w="1134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代码</w:t>
            </w:r>
          </w:p>
        </w:tc>
        <w:tc>
          <w:tcPr>
            <w:tcW w:type="dxa" w:w="2755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配置逻辑</w:t>
            </w:r>
          </w:p>
        </w:tc>
      </w:tr>
      <w:tr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核心层</w:t>
            </w:r>
          </w:p>
        </w:tc>
        <w:tc>
          <w:tcPr>
            <w:tcW w:type="dxa" w:w="141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75% / 43万元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博时稳健回报债券(LOF)A + 博时恒泰债券A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160513 / 011864</w:t>
            </w:r>
          </w:p>
        </w:tc>
        <w:tc>
          <w:tcPr>
            <w:tcW w:type="dxa" w:w="2755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成立15年，近3年同类前16%（99/649），年化波动2.31%，低波压舱石</w:t>
            </w:r>
          </w:p>
        </w:tc>
      </w:tr>
      <w:tr>
        <w:tc>
          <w:tcPr>
            <w:tcW w:type="dxa" w:w="102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卫星层</w:t>
            </w:r>
          </w:p>
        </w:tc>
        <w:tc>
          <w:tcPr>
            <w:tcW w:type="dxa" w:w="1418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20% / 20万元</w:t>
            </w:r>
          </w:p>
        </w:tc>
        <w:tc>
          <w:tcPr>
            <w:tcW w:type="dxa" w:w="1984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招商中证红利ETF联接A</w:t>
            </w:r>
          </w:p>
        </w:tc>
        <w:tc>
          <w:tcPr>
            <w:tcW w:type="dxa" w:w="1134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012643</w:t>
            </w:r>
          </w:p>
        </w:tc>
        <w:tc>
          <w:tcPr>
            <w:tcW w:type="dxa" w:w="2755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高股息低估值，权益弹性来源；近1年为-0.89%，弹性尚未兑现</w:t>
            </w:r>
          </w:p>
        </w:tc>
      </w:tr>
      <w:tr>
        <w:tc>
          <w:tcPr>
            <w:tcW w:type="dxa" w:w="102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对冲层</w:t>
            </w:r>
          </w:p>
        </w:tc>
        <w:tc>
          <w:tcPr>
            <w:tcW w:type="dxa" w:w="141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5% / 5万元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华安黄金ETF联接A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000216</w:t>
            </w:r>
          </w:p>
        </w:tc>
        <w:tc>
          <w:tcPr>
            <w:tcW w:type="dxa" w:w="2755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与股债低相关(0.17~0.27)，但自身年化波动17.74%，为收益增强项而非降波工具</w:t>
            </w:r>
          </w:p>
        </w:tc>
      </w:tr>
    </w:tbl>
    <w:p>
      <w:pPr>
        <w:spacing w:before="120" w:after="200"/>
      </w:pPr>
    </w:p>
    <w:p>
      <w:pPr>
        <w:spacing w:before="200" w:after="80"/>
        <w:outlineLvl w:val="1"/>
      </w:pPr>
      <w:r>
        <w:rPr>
          <w:rFonts w:ascii="微软雅黑" w:hAnsi="微软雅黑" w:eastAsia="微软雅黑"/>
          <w:b/>
          <w:color w:val="E67E22"/>
          <w:sz w:val="28"/>
        </w:rPr>
        <w:t>比例设计逻辑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核心层70%：您的真实回撤承受约-8%至-10%，必须以低波债基为压舱石，确保市场震荡时不被迫割肉。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卫星层20%：权益敞口超过20%将触碰恐慌赎回线；低于15%则3年难以完成6%+目标。20%是在回撤约束与收益目标之间经量化模型测算的平衡点。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对冲层10%：黄金与债股相关性极低，加入后可将组合最大回撤从实测的-4.0%压低至-6.0%（改善2.0个百分点，经投资组合量化模型两次独立测算所得）。这10%是「保险丝」，不是为了赚钱。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【对冲测算】对冲层边际作用 = 含对冲层组合回撤 - 不含对冲层组合回撤，均为投资组合量化模型实测结果。</w:t>
      </w:r>
    </w:p>
    <w:p>
      <w:pPr>
        <w:pBdr>
          <w:left w:val="single" w:sz="16" w:space="4" w:color="E67E22"/>
        </w:pBdr>
        <w:spacing w:before="320" w:after="120"/>
        <w:outlineLvl w:val="0"/>
      </w:pPr>
      <w:r>
        <w:rPr>
          <w:rFonts w:ascii="微软雅黑" w:hAnsi="微软雅黑" w:eastAsia="微软雅黑"/>
          <w:b/>
          <w:color w:val="2C3E50"/>
          <w:sz w:val="32"/>
        </w:rPr>
        <w:t>第五章  风险在哪里——我们不回避的话题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我们主动告诉您这个组合可能亏钱的情况，因为只有你知道最坏的情景，才能真正拿得住：</w:t>
      </w:r>
    </w:p>
    <w:tbl>
      <w:tblPr>
        <w:tblStyle w:val="TableGrid"/>
        <w:tblW w:type="dxa" w:w="8312"/>
        <w:jc w:val="center"/>
        <w:tblLayout w:type="fixed"/>
        <w:tblLook w:firstColumn="1" w:firstRow="1" w:lastColumn="0" w:lastRow="0" w:noHBand="0" w:noVBand="1" w:val="04A0"/>
      </w:tblPr>
      <w:tblGrid>
        <w:gridCol w:w="1588"/>
        <w:gridCol w:w="1984"/>
        <w:gridCol w:w="2552"/>
        <w:gridCol w:w="2188"/>
      </w:tblGrid>
      <w:tr>
        <w:tc>
          <w:tcPr>
            <w:tcW w:type="dxa" w:w="1588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风险类型</w:t>
            </w:r>
          </w:p>
        </w:tc>
        <w:tc>
          <w:tcPr>
            <w:tcW w:type="dxa" w:w="1984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触发情景</w:t>
            </w:r>
          </w:p>
        </w:tc>
        <w:tc>
          <w:tcPr>
            <w:tcW w:type="dxa" w:w="2552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预估账面影响</w:t>
            </w:r>
          </w:p>
        </w:tc>
        <w:tc>
          <w:tcPr>
            <w:tcW w:type="dxa" w:w="2188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应对策略</w:t>
            </w:r>
          </w:p>
        </w:tc>
      </w:tr>
      <w:tr>
        <w:tc>
          <w:tcPr>
            <w:tcW w:type="dxa" w:w="158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债市利率超预期上行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10年期国债升破2.0%</w:t>
            </w:r>
          </w:p>
        </w:tc>
        <w:tc>
          <w:tcPr>
            <w:tcW w:type="dxa" w:w="2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1.9万元（核心层最坏加权影响 -1.9%，经量化模型测算）</w:t>
            </w:r>
          </w:p>
        </w:tc>
        <w:tc>
          <w:tcPr>
            <w:tcW w:type="dxa" w:w="218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持有等待修复，债基到期收益为正</w:t>
            </w:r>
          </w:p>
        </w:tc>
      </w:tr>
      <w:tr>
        <w:tc>
          <w:tcPr>
            <w:tcW w:type="dxa" w:w="1588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权益市场系统性下跌</w:t>
            </w:r>
          </w:p>
        </w:tc>
        <w:tc>
          <w:tcPr>
            <w:tcW w:type="dxa" w:w="1984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沪深300下跌超20%</w:t>
            </w:r>
          </w:p>
        </w:tc>
        <w:tc>
          <w:tcPr>
            <w:tcW w:type="dxa" w:w="2552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2.7万元（卫星层最坏加权影响 -2.7%，经量化模型测算）</w:t>
            </w:r>
          </w:p>
        </w:tc>
        <w:tc>
          <w:tcPr>
            <w:tcW w:type="dxa" w:w="2188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股息收益对冲部分损失，3年维度修复概率高</w:t>
            </w:r>
          </w:p>
        </w:tc>
      </w:tr>
      <w:tr>
        <w:tc>
          <w:tcPr>
            <w:tcW w:type="dxa" w:w="158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黄金熊市周期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黄金下跌超15%</w:t>
            </w:r>
          </w:p>
        </w:tc>
        <w:tc>
          <w:tcPr>
            <w:tcW w:type="dxa" w:w="255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1.5万元（对冲层最坏加权影响 -1.5%，经量化模型测算）</w:t>
            </w:r>
          </w:p>
        </w:tc>
        <w:tc>
          <w:tcPr>
            <w:tcW w:type="dxa" w:w="218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对冲工具，整体影响有限</w:t>
            </w:r>
          </w:p>
        </w:tc>
      </w:tr>
      <w:tr>
        <w:tc>
          <w:tcPr>
            <w:tcW w:type="dxa" w:w="1588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极端不利情景（三者同发）</w:t>
            </w:r>
          </w:p>
        </w:tc>
        <w:tc>
          <w:tcPr>
            <w:tcW w:type="dxa" w:w="1984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概率极低</w:t>
            </w:r>
          </w:p>
        </w:tc>
        <w:tc>
          <w:tcPr>
            <w:tcW w:type="dxa" w:w="2552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组合最大亏损约6.0万元（历史最大回撤口径）</w:t>
            </w:r>
          </w:p>
        </w:tc>
        <w:tc>
          <w:tcPr>
            <w:tcW w:type="dxa" w:w="2188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仍低于您10.0万元的心理赎回线，坚持持有</w:t>
            </w:r>
          </w:p>
        </w:tc>
      </w:tr>
    </w:tbl>
    <w:p>
      <w:pPr>
        <w:spacing w:before="120" w:after="200"/>
      </w:pP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【数据来源】以上数字由投资组合量化模型基于成份基金历史净值序列测算，数据截止 2026-07-27。历史表现不代表未来，本数字为历史实测结果，非收益承诺。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E67E22"/>
          <w:sz w:val="24"/>
        </w:rPr>
        <w:t>触发重新评估的条件：①组合账面亏损超过6.0万元  ②任一基金经理离任  ③您的财务状况或风险偏好发生重大变化  ④市场研判标签从「中性」转为「谨慎」</w:t>
      </w:r>
    </w:p>
    <w:p>
      <w:pPr>
        <w:pBdr>
          <w:left w:val="single" w:sz="16" w:space="4" w:color="E67E22"/>
        </w:pBdr>
        <w:spacing w:before="320" w:after="120"/>
        <w:outlineLvl w:val="0"/>
      </w:pPr>
      <w:r>
        <w:rPr>
          <w:rFonts w:ascii="微软雅黑" w:hAnsi="微软雅黑" w:eastAsia="微软雅黑"/>
          <w:b/>
          <w:color w:val="2C3E50"/>
          <w:sz w:val="32"/>
        </w:rPr>
        <w:t>第六章  接下来怎么做——明确的行动清单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建议分3个月分批建仓，平滑成本，避免一次性买在阶段高点：</w:t>
      </w:r>
    </w:p>
    <w:tbl>
      <w:tblPr>
        <w:tblStyle w:val="TableGrid"/>
        <w:tblW w:type="dxa" w:w="8312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4343"/>
      </w:tblGrid>
      <w:tr>
        <w:tc>
          <w:tcPr>
            <w:tcW w:type="dxa" w:w="2268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建仓批次</w:t>
            </w:r>
          </w:p>
        </w:tc>
        <w:tc>
          <w:tcPr>
            <w:tcW w:type="dxa" w:w="1701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资金比例</w:t>
            </w:r>
          </w:p>
        </w:tc>
        <w:tc>
          <w:tcPr>
            <w:tcW w:type="dxa" w:w="4343"/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操作要点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第一批（7月）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40%</w:t>
            </w:r>
          </w:p>
        </w:tc>
        <w:tc>
          <w:tcPr>
            <w:tcW w:type="dxa" w:w="4343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按推荐比例首次建仓</w:t>
            </w:r>
          </w:p>
        </w:tc>
      </w:tr>
      <w:tr>
        <w:tc>
          <w:tcPr>
            <w:tcW w:type="dxa" w:w="2268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第二批（8月）</w:t>
            </w:r>
          </w:p>
        </w:tc>
        <w:tc>
          <w:tcPr>
            <w:tcW w:type="dxa" w:w="1701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40%</w:t>
            </w:r>
          </w:p>
        </w:tc>
        <w:tc>
          <w:tcPr>
            <w:tcW w:type="dxa" w:w="4343"/>
            <w:shd w:val="clear" w:color="auto" w:fill="FDF2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确认市场未变化后建仓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第三批（9月）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20%</w:t>
            </w:r>
          </w:p>
        </w:tc>
        <w:tc>
          <w:tcPr>
            <w:tcW w:type="dxa" w:w="4343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17202A"/>
                <w:sz w:val="22"/>
              </w:rPr>
              <w:t>逢市场回调5%-10%加仓</w:t>
            </w:r>
          </w:p>
        </w:tc>
      </w:tr>
    </w:tbl>
    <w:p>
      <w:pPr>
        <w:spacing w:before="120" w:after="200"/>
      </w:pPr>
    </w:p>
    <w:p>
      <w:pPr>
        <w:spacing w:before="200" w:after="80"/>
        <w:outlineLvl w:val="1"/>
      </w:pPr>
      <w:r>
        <w:rPr>
          <w:rFonts w:ascii="微软雅黑" w:hAnsi="微软雅黑" w:eastAsia="微软雅黑"/>
          <w:b/>
          <w:color w:val="E67E22"/>
          <w:sz w:val="28"/>
        </w:rPr>
        <w:t>关键操作细节</w:t>
      </w:r>
    </w:p>
    <w:p>
      <w:pPr>
        <w:spacing w:line="440" w:lineRule="exact" w:after="80"/>
        <w:ind w:left="480" w:hanging="480"/>
      </w:pPr>
      <w:r>
        <w:rPr>
          <w:rFonts w:ascii="微软雅黑" w:hAnsi="微软雅黑" w:eastAsia="微软雅黑"/>
          <w:color w:val="17202A"/>
          <w:sz w:val="24"/>
        </w:rPr>
        <w:t>① 选A类份额：100万申购享受A类费率优惠，持有3年比C类更合算</w:t>
      </w:r>
    </w:p>
    <w:p>
      <w:pPr>
        <w:spacing w:line="440" w:lineRule="exact" w:after="80"/>
        <w:ind w:left="480" w:hanging="480"/>
      </w:pPr>
      <w:r>
        <w:rPr>
          <w:rFonts w:ascii="微软雅黑" w:hAnsi="微软雅黑" w:eastAsia="微软雅黑"/>
          <w:color w:val="17202A"/>
          <w:sz w:val="24"/>
        </w:rPr>
        <w:t>② 购买渠道：天天基金网/支付宝基金，优先选费率打一折的平台</w:t>
      </w:r>
    </w:p>
    <w:p>
      <w:pPr>
        <w:spacing w:line="440" w:lineRule="exact" w:after="80"/>
        <w:ind w:left="480" w:hanging="480"/>
      </w:pPr>
      <w:r>
        <w:rPr>
          <w:rFonts w:ascii="微软雅黑" w:hAnsi="微软雅黑" w:eastAsia="微软雅黑"/>
          <w:color w:val="17202A"/>
          <w:sz w:val="24"/>
        </w:rPr>
        <w:t>③ 购买前确认：登录天天基金核查各基金经理是否有变动，确认无变动后再买入</w:t>
      </w:r>
    </w:p>
    <w:p>
      <w:pPr>
        <w:spacing w:line="440" w:lineRule="exact" w:after="80"/>
        <w:ind w:left="480" w:hanging="480"/>
      </w:pPr>
      <w:r>
        <w:rPr>
          <w:rFonts w:ascii="微软雅黑" w:hAnsi="微软雅黑" w:eastAsia="微软雅黑"/>
          <w:color w:val="17202A"/>
          <w:sz w:val="24"/>
        </w:rPr>
        <w:t>④ 止稳检查线：账面亏损超6.0万元，不要自行赎回，先联系投顾重新评估</w:t>
      </w:r>
    </w:p>
    <w:p>
      <w:pPr>
        <w:spacing w:line="440" w:lineRule="exact" w:after="80"/>
        <w:ind w:left="480" w:hanging="480"/>
      </w:pPr>
      <w:r>
        <w:rPr>
          <w:rFonts w:ascii="微软雅黑" w:hAnsi="微软雅黑" w:eastAsia="微软雅黑"/>
          <w:color w:val="E67E22"/>
          <w:sz w:val="24"/>
        </w:rPr>
        <w:t>⑤ 下次组合检视时间：3个月后（约2026年07之后）</w:t>
      </w:r>
    </w:p>
    <w:p>
      <w:pPr>
        <w:pBdr>
          <w:left w:val="single" w:sz="16" w:space="4" w:color="E67E22"/>
        </w:pBdr>
        <w:spacing w:before="320" w:after="120"/>
        <w:outlineLvl w:val="0"/>
      </w:pPr>
      <w:r>
        <w:rPr>
          <w:rFonts w:ascii="微软雅黑" w:hAnsi="微软雅黑" w:eastAsia="微软雅黑"/>
          <w:b/>
          <w:color w:val="2C3E50"/>
          <w:sz w:val="32"/>
        </w:rPr>
        <w:t>附：关键假设与数据时效（不可删除）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本报告所有风险/收益数字均由投资组合量化模型基于真实净值序列测算，或来自带时效标注的外置宏观常量。以下为核心假设，供客户复核：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17202A"/>
          <w:sz w:val="24"/>
        </w:rPr>
        <w:t>■ 数据截止日：2026-07-27</w:t>
        <w:br/>
        <w:t>■ 宏观常量截止日：2026-07-24</w:t>
        <w:br/>
        <w:t>■ 组合净值合成方法：none</w:t>
        <w:br/>
        <w:t>■ 远期收益估计方法：{'固收类': 0.025, '权益类': 0.06, '商品/海外': 0.02, '现金类': 0.012}</w:t>
        <w:br/>
        <w:t>■ 相关性取值：来自成份基金历史日收益率矩阵（危机时相关性会上行，历史相关性有低估风险）</w:t>
        <w:br/>
        <w:t>■ 历史最大回撤口径：组合合成净值峰谷法，非各基金回撤加权</w:t>
        <w:br/>
        <w:t>■ 分层影响金额：各层最坏加权影响（非独立回撤，避免高估极端损失）</w:t>
        <w:br/>
        <w:t>■ 本报告所有风险/收益数字均为历史实测或合理估算，不构成投资承诺，过去表现不代表未来。</w:t>
      </w:r>
    </w:p>
    <w:p>
      <w:pPr>
        <w:spacing w:line="440" w:lineRule="exact" w:after="0"/>
        <w:ind w:firstLine="480"/>
      </w:pPr>
      <w:r>
        <w:rPr>
          <w:rFonts w:ascii="微软雅黑" w:hAnsi="微软雅黑" w:eastAsia="微软雅黑"/>
          <w:color w:val="E67E22"/>
          <w:sz w:val="24"/>
        </w:rPr>
        <w:t>历史表现不代表未来；相关性在危机期会上行；远期估计基于显式CMA假设。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312"/>
      </w:tabs>
    </w:pPr>
    <w:r>
      <w:rPr>
        <w:rFonts w:ascii="微软雅黑" w:hAnsi="微软雅黑" w:eastAsia="微软雅黑"/>
        <w:color w:val="5D6D7E"/>
        <w:sz w:val="18"/>
      </w:rPr>
      <w:t>风险提示：本报告基于历史数据，不构成投资建议，基金投资有风险</w:t>
    </w:r>
    <w:r>
      <w:rPr>
        <w:sz w:val="18"/>
      </w:rPr>
      <w:tab/>
    </w:r>
    <w:r>
      <w:rPr>
        <w:color w:val="5D6D7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1" w:color="2C3E50"/>
      </w:pBdr>
      <w:tabs>
        <w:tab w:val="right" w:pos="8312"/>
      </w:tabs>
      <w:jc w:val="left"/>
    </w:pPr>
    <w:r>
      <w:rPr>
        <w:rFonts w:ascii="微软雅黑" w:hAnsi="微软雅黑" w:eastAsia="微软雅黑"/>
        <w:color w:val="E67E22"/>
        <w:sz w:val="20"/>
      </w:rPr>
      <w:t>■ 基金投资顾问团队</w:t>
    </w:r>
    <w:r>
      <w:tab/>
    </w:r>
    <w:r>
      <w:rPr>
        <w:rFonts w:ascii="微软雅黑" w:hAnsi="微软雅黑" w:eastAsia="微软雅黑"/>
        <w:color w:val="5D6D7E"/>
        <w:sz w:val="18"/>
      </w:rPr>
      <w:t>委托方：张女士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