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0" w:space="1" w:color="0A4D68"/>
        </w:pBdr>
      </w:pPr>
    </w:p>
    <w:p>
      <w:pPr>
        <w:spacing w:before="240" w:after="120"/>
        <w:jc w:val="center"/>
      </w:pPr>
      <w:r>
        <w:rPr>
          <w:rFonts w:ascii="微软雅黑" w:hAnsi="微软雅黑" w:eastAsia="微软雅黑"/>
          <w:b/>
          <w:color w:val="0A4D68"/>
          <w:sz w:val="44"/>
        </w:rPr>
        <w:t>基金组合推荐一页纸  ·  张女士  ·  2026年07月27日</w:t>
      </w:r>
    </w:p>
    <w:p>
      <w:pPr>
        <w:spacing w:after="120"/>
      </w:pPr>
    </w:p>
    <w:tbl>
      <w:tblPr>
        <w:tblStyle w:val="TableGrid"/>
        <w:tblW w:type="dxa" w:w="8312"/>
        <w:jc w:val="center"/>
        <w:tblLayout w:type="fixed"/>
        <w:tblLook w:firstColumn="1" w:firstRow="1" w:lastColumn="0" w:lastRow="0" w:noHBand="0" w:noVBand="1" w:val="04A0"/>
      </w:tblPr>
      <w:tblGrid>
        <w:gridCol w:w="1418"/>
        <w:gridCol w:w="1984"/>
        <w:gridCol w:w="1418"/>
        <w:gridCol w:w="1134"/>
        <w:gridCol w:w="2358"/>
      </w:tblGrid>
      <w:tr>
        <w:tc>
          <w:tcPr>
            <w:tcW w:type="dxa" w:w="1418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风险等级</w:t>
            </w:r>
          </w:p>
        </w:tc>
        <w:tc>
          <w:tcPr>
            <w:tcW w:type="dxa" w:w="1984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年化收益</w:t>
            </w:r>
          </w:p>
        </w:tc>
        <w:tc>
          <w:tcPr>
            <w:tcW w:type="dxa" w:w="1418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历史最大回撤</w:t>
            </w:r>
          </w:p>
        </w:tc>
        <w:tc>
          <w:tcPr>
            <w:tcW w:type="dxa" w:w="1134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权益敞口</w:t>
            </w:r>
          </w:p>
        </w:tc>
        <w:tc>
          <w:tcPr>
            <w:tcW w:type="dxa" w:w="2358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建仓方式</w:t>
            </w:r>
          </w:p>
        </w:tc>
      </w:tr>
      <w:tr>
        <w:tc>
          <w:tcPr>
            <w:tcW w:type="dxa" w:w="141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R2 稳健型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4.7%（历史）/ 6.0%（远期估计）</w:t>
            </w:r>
          </w:p>
        </w:tc>
        <w:tc>
          <w:tcPr>
            <w:tcW w:type="dxa" w:w="141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-6.0%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20%</w:t>
            </w:r>
          </w:p>
        </w:tc>
        <w:tc>
          <w:tcPr>
            <w:tcW w:type="dxa" w:w="235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分3月分批</w:t>
            </w:r>
          </w:p>
        </w:tc>
      </w:tr>
    </w:tbl>
    <w:p>
      <w:pPr>
        <w:spacing w:before="120" w:after="200"/>
      </w:pP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b w:val="0"/>
          <w:color w:val="1A1A1A"/>
          <w:sz w:val="24"/>
        </w:rPr>
        <w:t>以上数字由投资组合量化模型基于成份基金历史净值序列测算，数据截止 2026-07-27。历史表现不代表未来。</w:t>
      </w:r>
    </w:p>
    <w:p>
      <w:pPr>
        <w:pBdr>
          <w:left w:val="single" w:sz="12" w:space="4" w:color="0A4D68"/>
        </w:pBdr>
        <w:spacing w:before="280" w:after="120"/>
        <w:outlineLvl w:val="0"/>
      </w:pPr>
      <w:r>
        <w:rPr>
          <w:rFonts w:ascii="微软雅黑" w:hAnsi="微软雅黑" w:eastAsia="微软雅黑"/>
          <w:b/>
          <w:color w:val="0A4D68"/>
          <w:sz w:val="32"/>
        </w:rPr>
        <w:t>四基金组合方案</w:t>
      </w:r>
    </w:p>
    <w:tbl>
      <w:tblPr>
        <w:tblStyle w:val="TableGrid"/>
        <w:tblW w:type="dxa" w:w="831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50"/>
        <w:gridCol w:w="1021"/>
        <w:gridCol w:w="1021"/>
        <w:gridCol w:w="1021"/>
        <w:gridCol w:w="1247"/>
        <w:gridCol w:w="1451"/>
      </w:tblGrid>
      <w:tr>
        <w:tc>
          <w:tcPr>
            <w:tcW w:type="dxa" w:w="1701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基金名称</w:t>
            </w:r>
          </w:p>
        </w:tc>
        <w:tc>
          <w:tcPr>
            <w:tcW w:type="dxa" w:w="850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代码</w:t>
            </w:r>
          </w:p>
        </w:tc>
        <w:tc>
          <w:tcPr>
            <w:tcW w:type="dxa" w:w="1021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1021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近3年年化</w:t>
            </w:r>
          </w:p>
        </w:tc>
        <w:tc>
          <w:tcPr>
            <w:tcW w:type="dxa" w:w="1021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最大回撤</w:t>
            </w:r>
          </w:p>
        </w:tc>
        <w:tc>
          <w:tcPr>
            <w:tcW w:type="dxa" w:w="1247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占比/金额</w:t>
            </w:r>
          </w:p>
        </w:tc>
        <w:tc>
          <w:tcPr>
            <w:tcW w:type="dxa" w:w="1451"/>
            <w:shd w:val="clear" w:color="auto" w:fill="0A4D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核心亮点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博时稳健回报债券(LOF)A</w:t>
            </w:r>
          </w:p>
        </w:tc>
        <w:tc>
          <w:tcPr>
            <w:tcW w:type="dxa" w:w="85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160513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债券型-混合一级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+4.08%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-2.72%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32% / 32万元</w:t>
            </w:r>
          </w:p>
        </w:tc>
        <w:tc>
          <w:tcPr>
            <w:tcW w:type="dxa" w:w="145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成立15年，近3年同类前16%（99/649），年化波动2.31%，低波压舱石</w:t>
            </w:r>
          </w:p>
        </w:tc>
      </w:tr>
      <w:tr>
        <w:tc>
          <w:tcPr>
            <w:tcW w:type="dxa" w:w="170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博时恒泰债券A</w:t>
            </w:r>
          </w:p>
        </w:tc>
        <w:tc>
          <w:tcPr>
            <w:tcW w:type="dxa" w:w="850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011864</w:t>
            </w:r>
          </w:p>
        </w:tc>
        <w:tc>
          <w:tcPr>
            <w:tcW w:type="dxa" w:w="102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债券型-混合二级</w:t>
            </w:r>
          </w:p>
        </w:tc>
        <w:tc>
          <w:tcPr>
            <w:tcW w:type="dxa" w:w="102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+4.10%</w:t>
            </w:r>
          </w:p>
        </w:tc>
        <w:tc>
          <w:tcPr>
            <w:tcW w:type="dxa" w:w="102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-2.53%</w:t>
            </w:r>
          </w:p>
        </w:tc>
        <w:tc>
          <w:tcPr>
            <w:tcW w:type="dxa" w:w="1247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43% / 43万元</w:t>
            </w:r>
          </w:p>
        </w:tc>
        <w:tc>
          <w:tcPr>
            <w:tcW w:type="dxa" w:w="145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二级债基，含约9.4%权益持仓（非纯债），年化波动2.47%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招商中证红利ETF联接A</w:t>
            </w:r>
          </w:p>
        </w:tc>
        <w:tc>
          <w:tcPr>
            <w:tcW w:type="dxa" w:w="85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012643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指数型-股票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+5.14%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-13.53%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20% / 20万元</w:t>
            </w:r>
          </w:p>
        </w:tc>
        <w:tc>
          <w:tcPr>
            <w:tcW w:type="dxa" w:w="145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高股息低估值，权益弹性来源；近1年为-0.89%，弹性尚未兑现</w:t>
            </w:r>
          </w:p>
        </w:tc>
      </w:tr>
      <w:tr>
        <w:tc>
          <w:tcPr>
            <w:tcW w:type="dxa" w:w="170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华安黄金ETF联接A</w:t>
            </w:r>
          </w:p>
        </w:tc>
        <w:tc>
          <w:tcPr>
            <w:tcW w:type="dxa" w:w="850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000216</w:t>
            </w:r>
          </w:p>
        </w:tc>
        <w:tc>
          <w:tcPr>
            <w:tcW w:type="dxa" w:w="102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指数型-其他</w:t>
            </w:r>
          </w:p>
        </w:tc>
        <w:tc>
          <w:tcPr>
            <w:tcW w:type="dxa" w:w="102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+23.06%</w:t>
            </w:r>
          </w:p>
        </w:tc>
        <w:tc>
          <w:tcPr>
            <w:tcW w:type="dxa" w:w="102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-29.98%</w:t>
            </w:r>
          </w:p>
        </w:tc>
        <w:tc>
          <w:tcPr>
            <w:tcW w:type="dxa" w:w="1247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5% / 5万元</w:t>
            </w:r>
          </w:p>
        </w:tc>
        <w:tc>
          <w:tcPr>
            <w:tcW w:type="dxa" w:w="1451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A1A1A"/>
                <w:sz w:val="22"/>
              </w:rPr>
              <w:t>与股债低相关(0.17~0.27)，但自身年化波动17.74%，为收益增强项而非降波工具</w:t>
            </w:r>
          </w:p>
        </w:tc>
      </w:tr>
    </w:tbl>
    <w:p>
      <w:pPr>
        <w:spacing w:before="120" w:after="200"/>
      </w:pPr>
    </w:p>
    <w:p>
      <w:pPr>
        <w:pBdr>
          <w:left w:val="single" w:sz="12" w:space="4" w:color="0A4D68"/>
        </w:pBdr>
        <w:spacing w:before="280" w:after="120"/>
        <w:outlineLvl w:val="0"/>
      </w:pPr>
      <w:r>
        <w:rPr>
          <w:rFonts w:ascii="微软雅黑" w:hAnsi="微软雅黑" w:eastAsia="微软雅黑"/>
          <w:b/>
          <w:color w:val="0A4D68"/>
          <w:sz w:val="32"/>
        </w:rPr>
        <w:t>三步操作指引</w:t>
      </w:r>
    </w:p>
    <w:p>
      <w:pPr>
        <w:spacing w:line="440" w:lineRule="exact" w:after="80"/>
        <w:ind w:left="480" w:hanging="480"/>
      </w:pPr>
      <w:r>
        <w:rPr>
          <w:rFonts w:ascii="微软雅黑" w:hAnsi="微软雅黑" w:eastAsia="微软雅黑"/>
          <w:b w:val="0"/>
          <w:color w:val="1A1A1A"/>
          <w:sz w:val="24"/>
        </w:rPr>
        <w:t>第一步：打开天天基金/支付宝基金，搜索代码并核实基金经理无变动</w:t>
      </w:r>
    </w:p>
    <w:p>
      <w:pPr>
        <w:spacing w:line="440" w:lineRule="exact" w:after="80"/>
        <w:ind w:left="480" w:hanging="480"/>
      </w:pPr>
      <w:r>
        <w:rPr>
          <w:rFonts w:ascii="微软雅黑" w:hAnsi="微软雅黑" w:eastAsia="微软雅黑"/>
          <w:b w:val="0"/>
          <w:color w:val="1A1A1A"/>
          <w:sz w:val="24"/>
        </w:rPr>
        <w:t>第二步：选A类份额，首次买入总资金40%，按核心:卫星:对冲=70:20:10比例分配</w:t>
      </w:r>
    </w:p>
    <w:p>
      <w:pPr>
        <w:spacing w:line="440" w:lineRule="exact" w:after="80"/>
        <w:ind w:left="480" w:hanging="480"/>
      </w:pPr>
      <w:r>
        <w:rPr>
          <w:rFonts w:ascii="微软雅黑" w:hAnsi="微软雅黑" w:eastAsia="微软雅黑"/>
          <w:b w:val="0"/>
          <w:color w:val="1A1A1A"/>
          <w:sz w:val="24"/>
        </w:rPr>
        <w:t>第三步：次月再买40%，第三个月买20%，三个月完成全部建仓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b w:val="0"/>
          <w:color w:val="1A1A1A"/>
          <w:sz w:val="24"/>
        </w:rPr>
        <w:t>持有期间只需记住：账面亏损超6.0万元 → 先联系投顾，不要自行赎回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312"/>
      </w:tabs>
    </w:pPr>
    <w:r>
      <w:rPr>
        <w:rFonts w:ascii="微软雅黑" w:hAnsi="微软雅黑" w:eastAsia="微软雅黑"/>
        <w:color w:val="6C757D"/>
        <w:sz w:val="18"/>
      </w:rPr>
      <w:t>本摘要配合完整版研究报告使用</w:t>
    </w:r>
    <w:r>
      <w:rPr>
        <w:sz w:val="18"/>
      </w:rPr>
      <w:tab/>
    </w:r>
    <w:r>
      <w:rPr>
        <w:color w:val="6C75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A4D68"/>
      </w:pBdr>
      <w:jc w:val="center"/>
    </w:pPr>
    <w:r>
      <w:rPr>
        <w:rFonts w:ascii="微软雅黑" w:hAnsi="微软雅黑" w:eastAsia="微软雅黑"/>
        <w:color w:val="0A4D68"/>
        <w:sz w:val="21"/>
      </w:rPr>
      <w:t>基金投资顾问团队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