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Intermediate Representation (IR) Specification</w:t>
      </w:r>
    </w:p>
    <w:p>
      <w:r>
        <w:t>Specification Version: 0.1</w:t>
        <w:br/>
        <w:t>Status: Draft</w:t>
      </w:r>
    </w:p>
    <w:p>
      <w:pPr>
        <w:pStyle w:val="Heading2"/>
      </w:pPr>
      <w:r>
        <w:t>Purpose</w:t>
      </w:r>
    </w:p>
    <w:p>
      <w:r>
        <w:br/>
        <w:t>The Intermediate Representation (IR) is the canonical, compiler-generated model</w:t>
        <w:br/>
        <w:t>between semantic analysis and runtime execution. It is independent of the JSON</w:t>
        <w:br/>
        <w:t>authoring format and independent of any rendering backend.</w:t>
        <w:br/>
        <w:br/>
        <w:t>The IR is the contract between the compiler and the runtime.</w:t>
        <w:br/>
      </w:r>
    </w:p>
    <w:p>
      <w:pPr>
        <w:pStyle w:val="Heading2"/>
      </w:pPr>
      <w:r>
        <w:t>Goals</w:t>
      </w:r>
    </w:p>
    <w:p>
      <w:r>
        <w:br/>
        <w:t>• Immutable</w:t>
        <w:br/>
        <w:t>• Deterministic</w:t>
        <w:br/>
        <w:t>• Runtime optimized</w:t>
        <w:br/>
        <w:t>• Serialization friendly</w:t>
        <w:br/>
        <w:t>• Version tolerant</w:t>
        <w:br/>
        <w:t>• Easy to analyze and transform</w:t>
        <w:br/>
      </w:r>
    </w:p>
    <w:p>
      <w:pPr>
        <w:pStyle w:val="Heading2"/>
      </w:pPr>
      <w:r>
        <w:t>Pipeline</w:t>
      </w:r>
    </w:p>
    <w:p>
      <w:r>
        <w:br/>
        <w:t>JSON Report (.jrd)</w:t>
        <w:br/>
        <w:t xml:space="preserve">        ↓</w:t>
        <w:br/>
        <w:t>Parser</w:t>
        <w:br/>
        <w:t xml:space="preserve">        ↓</w:t>
        <w:br/>
        <w:t>Syntax Tree</w:t>
        <w:br/>
        <w:t xml:space="preserve">        ↓</w:t>
        <w:br/>
        <w:t>Semantic Model</w:t>
        <w:br/>
        <w:t xml:space="preserve">        ↓</w:t>
        <w:br/>
        <w:t>Intermediate Representation (IR)</w:t>
        <w:br/>
        <w:t xml:space="preserve">        ↓</w:t>
        <w:br/>
        <w:t>Optimization</w:t>
        <w:br/>
        <w:t xml:space="preserve">        ↓</w:t>
        <w:br/>
        <w:t>Compiled Report (.crd)</w:t>
        <w:br/>
      </w:r>
    </w:p>
    <w:p>
      <w:pPr>
        <w:pStyle w:val="Heading2"/>
      </w:pPr>
      <w:r>
        <w:t>IR Principles</w:t>
      </w:r>
    </w:p>
    <w:p>
      <w:r>
        <w:br/>
        <w:t>The IR:</w:t>
        <w:br/>
        <w:t>- contains no editor metadata</w:t>
        <w:br/>
        <w:t>- contains no unresolved references</w:t>
        <w:br/>
        <w:t>- contains only strongly typed values</w:t>
        <w:br/>
        <w:t>- references immutable resources</w:t>
        <w:br/>
        <w:t>- is safe to cache</w:t>
        <w:br/>
      </w:r>
    </w:p>
    <w:p>
      <w:pPr>
        <w:pStyle w:val="Heading2"/>
      </w:pPr>
      <w:r>
        <w:t>Object Model</w:t>
      </w:r>
    </w:p>
    <w:p>
      <w:r>
        <w:br/>
        <w:t>IRDocument</w:t>
        <w:br/>
        <w:t xml:space="preserve"> ├── Metadata</w:t>
        <w:br/>
        <w:t xml:space="preserve"> ├── Resources</w:t>
        <w:br/>
        <w:t xml:space="preserve"> ├── Parameters</w:t>
        <w:br/>
        <w:t xml:space="preserve"> ├── DataSets</w:t>
        <w:br/>
        <w:t xml:space="preserve"> ├── Sections</w:t>
        <w:br/>
        <w:t xml:space="preserve"> ├── Styles</w:t>
        <w:br/>
        <w:t xml:space="preserve"> └── Diagnostics</w:t>
        <w:br/>
      </w:r>
    </w:p>
    <w:p>
      <w:pPr>
        <w:pStyle w:val="Heading2"/>
      </w:pPr>
      <w:r>
        <w:t>Nodes</w:t>
      </w:r>
    </w:p>
    <w:p>
      <w:r>
        <w:br/>
        <w:t>Every node has:</w:t>
        <w:br/>
        <w:t>- Stable identifier</w:t>
        <w:br/>
        <w:t>- Kind</w:t>
        <w:br/>
        <w:t>- Parent reference</w:t>
        <w:br/>
        <w:t>- Source mapping</w:t>
        <w:br/>
        <w:t>- Resolved style</w:t>
        <w:br/>
        <w:t>- Bound expressions</w:t>
        <w:br/>
      </w:r>
    </w:p>
    <w:p>
      <w:pPr>
        <w:pStyle w:val="Heading2"/>
      </w:pPr>
      <w:r>
        <w:t>Expressions</w:t>
      </w:r>
    </w:p>
    <w:p>
      <w:r>
        <w:br/>
        <w:t>Expressions are stored as bound expression trees rather than source text.</w:t>
        <w:br/>
        <w:br/>
        <w:t>Advantages:</w:t>
        <w:br/>
        <w:t>- No parsing during execution</w:t>
        <w:br/>
        <w:t>- Type-safe evaluation</w:t>
        <w:br/>
        <w:t>- Faster runtime</w:t>
        <w:br/>
      </w:r>
    </w:p>
    <w:p>
      <w:pPr>
        <w:pStyle w:val="Heading2"/>
      </w:pPr>
      <w:r>
        <w:t>Resources</w:t>
      </w:r>
    </w:p>
    <w:p>
      <w:r>
        <w:br/>
        <w:t>Resources are centralized:</w:t>
        <w:br/>
        <w:t>- Fonts</w:t>
        <w:br/>
        <w:t>- Images</w:t>
        <w:br/>
        <w:t>- Brushes</w:t>
        <w:br/>
        <w:t>- Colors</w:t>
        <w:br/>
        <w:t>- Themes</w:t>
        <w:br/>
        <w:t>- Compiled expression delegates</w:t>
        <w:br/>
        <w:br/>
        <w:t>Duplicate resources are deduplicated.</w:t>
        <w:br/>
      </w:r>
    </w:p>
    <w:p>
      <w:pPr>
        <w:pStyle w:val="Heading2"/>
      </w:pPr>
      <w:r>
        <w:t>Optimization Passes</w:t>
      </w:r>
    </w:p>
    <w:p>
      <w:r>
        <w:br/>
        <w:t>Recommended passes:</w:t>
        <w:br/>
        <w:t>1. Constant folding</w:t>
        <w:br/>
        <w:t>2. Dead object elimination</w:t>
        <w:br/>
        <w:t>3. Resource deduplication</w:t>
        <w:br/>
        <w:t>4. Style flattening</w:t>
        <w:br/>
        <w:t>5. Expression simplification</w:t>
        <w:br/>
        <w:t>6. Lookup index generation</w:t>
        <w:br/>
        <w:t>7. Layout hints</w:t>
        <w:br/>
      </w:r>
    </w:p>
    <w:p>
      <w:pPr>
        <w:pStyle w:val="Heading2"/>
      </w:pPr>
      <w:r>
        <w:t>Runtime Contract</w:t>
      </w:r>
    </w:p>
    <w:p>
      <w:r>
        <w:br/>
        <w:t>The runtime MUST consume only the compiled IR-derived model.</w:t>
        <w:br/>
        <w:t>It MUST NOT perform semantic binding or schema validation.</w:t>
        <w:br/>
      </w:r>
    </w:p>
    <w:p>
      <w:pPr>
        <w:pStyle w:val="Heading2"/>
      </w:pPr>
      <w:r>
        <w:t>Versioning</w:t>
      </w:r>
    </w:p>
    <w:p>
      <w:r>
        <w:br/>
        <w:t>IR versions evolve independently of the report definition schema.</w:t>
        <w:br/>
        <w:t>Migration occurs before IR generation.</w:t>
        <w:br/>
      </w:r>
    </w:p>
    <w:p>
      <w:pPr>
        <w:pStyle w:val="Heading2"/>
      </w:pPr>
      <w:r>
        <w:t>Diagnostics</w:t>
      </w:r>
    </w:p>
    <w:p>
      <w:r>
        <w:br/>
        <w:t>Each IR node maintains source mappings back to the authoring model,</w:t>
        <w:br/>
        <w:t>allowing runtime and compiler diagnostics to identify the originating object.</w:t>
        <w:br/>
      </w:r>
    </w:p>
    <w:p>
      <w:pPr>
        <w:pStyle w:val="Heading2"/>
      </w:pPr>
      <w:r>
        <w:t>Testing</w:t>
      </w:r>
    </w:p>
    <w:p>
      <w:r>
        <w:br/>
        <w:t>Validation includes:</w:t>
        <w:br/>
        <w:t>- Deterministic IR generation</w:t>
        <w:br/>
        <w:t>- Resource deduplication</w:t>
        <w:br/>
        <w:t>- Stable identifiers</w:t>
        <w:br/>
        <w:t>- Version compatibility</w:t>
        <w:br/>
        <w:t>- Optimization correctness</w:t>
        <w:br/>
      </w:r>
    </w:p>
    <w:p>
      <w:pPr>
        <w:pStyle w:val="Heading2"/>
      </w:pPr>
      <w:r>
        <w:t>Architectural Decision Records</w:t>
      </w:r>
    </w:p>
    <w:p>
      <w:r>
        <w:br/>
        <w:t>ADR-061 IR is the compiler/runtime boundary.</w:t>
        <w:br/>
        <w:t>ADR-062 IR is immutable.</w:t>
        <w:br/>
        <w:t>ADR-063 Runtime consumes compiled artifacts only.</w:t>
        <w:br/>
        <w:t>ADR-064 Expressions are stored as bound trees.</w:t>
        <w:br/>
        <w:t>ADR-065 Resources are canonicalized.</w:t>
        <w:br/>
      </w:r>
    </w:p>
    <w:p>
      <w:pPr>
        <w:pStyle w:val="Heading2"/>
      </w:pPr>
      <w:r>
        <w:t>Next Specifications</w:t>
      </w:r>
    </w:p>
    <w:p>
      <w:r>
        <w:br/>
        <w:t>- Diagnostics Framework</w:t>
        <w:br/>
        <w:t>- Graphics &amp; Typography</w:t>
        <w:br/>
        <w:t>- Viewer Architecture</w:t>
        <w:br/>
        <w:t>- Uno Designer Architecture</w:t>
        <w:br/>
        <w:t>- Export SDK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