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Graphics and Typography Specification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t>Defines the graphics abstraction, typography pipeline, font management, text shaping, image handling, and rendering primitives.</w:t>
      </w:r>
    </w:p>
    <w:p>
      <w:pPr>
        <w:pStyle w:val="Heading2"/>
      </w:pPr>
      <w:r>
        <w:t>Scope</w:t>
      </w:r>
    </w:p>
    <w:p>
      <w:r>
        <w:t>Defines architecture, contracts, extensibility points, performance expectations, testing strategy, and versioning.</w:t>
      </w:r>
    </w:p>
    <w:p>
      <w:pPr>
        <w:pStyle w:val="Heading2"/>
      </w:pPr>
      <w:r>
        <w:t>Key Topics</w:t>
      </w:r>
    </w:p>
    <w:p>
      <w:pPr>
        <w:pStyle w:val="ListBullet"/>
      </w:pPr>
      <w:r>
        <w:t>Skia abstraction</w:t>
      </w:r>
    </w:p>
    <w:p>
      <w:pPr>
        <w:pStyle w:val="ListBullet"/>
      </w:pPr>
      <w:r>
        <w:t>Unicode/OpenType</w:t>
      </w:r>
    </w:p>
    <w:p>
      <w:pPr>
        <w:pStyle w:val="ListBullet"/>
      </w:pPr>
      <w:r>
        <w:t>HarfBuzz</w:t>
      </w:r>
    </w:p>
    <w:p>
      <w:pPr>
        <w:pStyle w:val="ListBullet"/>
      </w:pPr>
      <w:r>
        <w:t>RTL/BiDi</w:t>
      </w:r>
    </w:p>
    <w:p>
      <w:pPr>
        <w:pStyle w:val="ListBullet"/>
      </w:pPr>
      <w:r>
        <w:t>Glyph cache</w:t>
      </w:r>
    </w:p>
    <w:p>
      <w:pPr>
        <w:pStyle w:val="ListBullet"/>
      </w:pPr>
      <w:r>
        <w:t>Image decoding</w:t>
      </w:r>
    </w:p>
    <w:p>
      <w:pPr>
        <w:pStyle w:val="ListBullet"/>
      </w:pPr>
      <w:r>
        <w:t>SVG</w:t>
      </w:r>
    </w:p>
    <w:p>
      <w:pPr>
        <w:pStyle w:val="ListBullet"/>
      </w:pPr>
      <w:r>
        <w:t>DPI independence</w:t>
      </w:r>
    </w:p>
    <w:p>
      <w:pPr>
        <w:pStyle w:val="Heading2"/>
      </w:pPr>
      <w:r>
        <w:t>Normative Sections</w:t>
      </w:r>
    </w:p>
    <w:p>
      <w:r>
        <w:t>Requirements</w:t>
        <w:br/>
        <w:t>Performance Budget</w:t>
        <w:br/>
        <w:t>Security Considerations</w:t>
        <w:br/>
        <w:t>Testing Strategy</w:t>
        <w:br/>
        <w:t>Versioning</w:t>
        <w:br/>
        <w:t>Open Questions</w:t>
        <w:br/>
        <w:t>Future Work</w:t>
        <w:br/>
        <w:t>Related Specifications</w:t>
      </w:r>
    </w:p>
    <w:p>
      <w:pPr>
        <w:pStyle w:val="Heading2"/>
      </w:pPr>
      <w:r>
        <w:t>Architectural Decision Records</w:t>
      </w:r>
    </w:p>
    <w:p>
      <w:pPr>
        <w:pStyle w:val="ListBullet"/>
      </w:pPr>
      <w:r>
        <w:t>ADR-071 Graphics API is renderer-neutral.</w:t>
      </w:r>
    </w:p>
    <w:p>
      <w:pPr>
        <w:pStyle w:val="ListBullet"/>
      </w:pPr>
      <w:r>
        <w:t>ADR-072 Text shaping occurs before layout.</w:t>
      </w:r>
    </w:p>
    <w:p>
      <w:pPr>
        <w:pStyle w:val="ListBullet"/>
      </w:pPr>
      <w:r>
        <w:t>ADR-073 Font fallback is deterministic.</w:t>
      </w:r>
    </w:p>
    <w:p>
      <w:pPr>
        <w:pStyle w:val="ListBullet"/>
      </w:pPr>
      <w:r>
        <w:t>ADR-074 Images are cached.</w:t>
      </w:r>
    </w:p>
    <w:p>
      <w:pPr>
        <w:pStyle w:val="ListBullet"/>
      </w:pPr>
      <w:r>
        <w:t>ADR-075 Renderers consume draw commands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