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Management Specification</w:t>
      </w:r>
    </w:p>
    <w:p>
      <w:r>
        <w:t>Specification Version: 0.1</w:t>
        <w:br/>
        <w:t>Status: Draft</w:t>
      </w:r>
    </w:p>
    <w:p>
      <w:pPr>
        <w:pStyle w:val="Heading2"/>
      </w:pPr>
      <w:r>
        <w:t>Purpose</w:t>
      </w:r>
    </w:p>
    <w:p>
      <w:r>
        <w:t>Defines caches, loading and disposal.</w:t>
      </w:r>
    </w:p>
    <w:p>
      <w:pPr>
        <w:pStyle w:val="Heading2"/>
      </w:pPr>
      <w:r>
        <w:t>Scope</w:t>
      </w:r>
    </w:p>
    <w:p>
      <w:r>
        <w:t>Defines architecture, contracts, extensibility points, performance expectations, testing strategy, and versioning.</w:t>
      </w:r>
    </w:p>
    <w:p>
      <w:pPr>
        <w:pStyle w:val="Heading2"/>
      </w:pPr>
      <w:r>
        <w:t>Key Topics</w:t>
      </w:r>
    </w:p>
    <w:p>
      <w:pPr>
        <w:pStyle w:val="ListBullet"/>
      </w:pPr>
      <w:r>
        <w:t>Fonts</w:t>
      </w:r>
    </w:p>
    <w:p>
      <w:pPr>
        <w:pStyle w:val="ListBullet"/>
      </w:pPr>
      <w:r>
        <w:t>Images</w:t>
      </w:r>
    </w:p>
    <w:p>
      <w:pPr>
        <w:pStyle w:val="ListBullet"/>
      </w:pPr>
      <w:r>
        <w:t>Themes</w:t>
      </w:r>
    </w:p>
    <w:p>
      <w:pPr>
        <w:pStyle w:val="ListBullet"/>
      </w:pPr>
      <w:r>
        <w:t>Brushes</w:t>
      </w:r>
    </w:p>
    <w:p>
      <w:pPr>
        <w:pStyle w:val="ListBullet"/>
      </w:pPr>
      <w:r>
        <w:t>Expression cache</w:t>
      </w:r>
    </w:p>
    <w:p>
      <w:pPr>
        <w:pStyle w:val="Heading2"/>
      </w:pPr>
      <w:r>
        <w:t>Normative Sections</w:t>
      </w:r>
    </w:p>
    <w:p>
      <w:r>
        <w:t>Requirements</w:t>
        <w:br/>
        <w:t>Performance Budget</w:t>
        <w:br/>
        <w:t>Security Considerations</w:t>
        <w:br/>
        <w:t>Testing Strategy</w:t>
        <w:br/>
        <w:t>Versioning</w:t>
        <w:br/>
        <w:t>Open Questions</w:t>
        <w:br/>
        <w:t>Future Work</w:t>
        <w:br/>
        <w:t>Related Specifications</w:t>
      </w:r>
    </w:p>
    <w:p>
      <w:pPr>
        <w:pStyle w:val="Heading2"/>
      </w:pPr>
      <w:r>
        <w:t>Architectural Decision Records</w:t>
      </w:r>
    </w:p>
    <w:p>
      <w:pPr>
        <w:pStyle w:val="ListBullet"/>
      </w:pPr>
      <w:r>
        <w:t>ADR-096 Shared caches.</w:t>
      </w:r>
    </w:p>
    <w:p>
      <w:pPr>
        <w:pStyle w:val="ListBullet"/>
      </w:pPr>
      <w:r>
        <w:t>ADR-097 Lazy loading.</w:t>
      </w:r>
    </w:p>
    <w:p>
      <w:pPr>
        <w:pStyle w:val="ListBullet"/>
      </w:pPr>
      <w:r>
        <w:t>ADR-098 Configurable policies.</w:t>
      </w:r>
    </w:p>
    <w:p>
      <w:pPr>
        <w:pStyle w:val="ListBullet"/>
      </w:pPr>
      <w:r>
        <w:t>ADR-099 Deterministic disposal.</w:t>
      </w:r>
    </w:p>
    <w:p>
      <w:pPr>
        <w:pStyle w:val="ListBullet"/>
      </w:pPr>
      <w:r>
        <w:t>ADR-100 Resource deduplication.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