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Platform Roadmap and Governance</w:t>
      </w:r>
    </w:p>
    <w:p>
      <w:r>
        <w:t>Specification Version: 0.1</w:t>
        <w:br/>
        <w:t>Status: Draft</w:t>
      </w:r>
    </w:p>
    <w:p>
      <w:pPr>
        <w:pStyle w:val="Heading2"/>
      </w:pPr>
      <w:r>
        <w:t>Purpose</w:t>
      </w:r>
    </w:p>
    <w:p>
      <w:r>
        <w:t>Defines governance, RFCs, ADR lifecycle and roadmap.</w:t>
      </w:r>
    </w:p>
    <w:p>
      <w:pPr>
        <w:pStyle w:val="Heading2"/>
      </w:pPr>
      <w:r>
        <w:t>Scope</w:t>
      </w:r>
    </w:p>
    <w:p>
      <w:r>
        <w:t>Defines architecture, contracts, extensibility points, performance expectations, testing strategy, and versioning.</w:t>
      </w:r>
    </w:p>
    <w:p>
      <w:pPr>
        <w:pStyle w:val="Heading2"/>
      </w:pPr>
      <w:r>
        <w:t>Key Topics</w:t>
      </w:r>
    </w:p>
    <w:p>
      <w:pPr>
        <w:pStyle w:val="ListBullet"/>
      </w:pPr>
      <w:r>
        <w:t>RFC Process</w:t>
      </w:r>
    </w:p>
    <w:p>
      <w:pPr>
        <w:pStyle w:val="ListBullet"/>
      </w:pPr>
      <w:r>
        <w:t>ADRs</w:t>
      </w:r>
    </w:p>
    <w:p>
      <w:pPr>
        <w:pStyle w:val="ListBullet"/>
      </w:pPr>
      <w:r>
        <w:t>Release cadence</w:t>
      </w:r>
    </w:p>
    <w:p>
      <w:pPr>
        <w:pStyle w:val="ListBullet"/>
      </w:pPr>
      <w:r>
        <w:t>Deprecation</w:t>
      </w:r>
    </w:p>
    <w:p>
      <w:pPr>
        <w:pStyle w:val="ListBullet"/>
      </w:pPr>
      <w:r>
        <w:t>LTS</w:t>
      </w:r>
    </w:p>
    <w:p>
      <w:pPr>
        <w:pStyle w:val="Heading2"/>
      </w:pPr>
      <w:r>
        <w:t>Normative Sections</w:t>
      </w:r>
    </w:p>
    <w:p>
      <w:r>
        <w:t>Requirements</w:t>
        <w:br/>
        <w:t>Performance Budget</w:t>
        <w:br/>
        <w:t>Security Considerations</w:t>
        <w:br/>
        <w:t>Testing Strategy</w:t>
        <w:br/>
        <w:t>Versioning</w:t>
        <w:br/>
        <w:t>Open Questions</w:t>
        <w:br/>
        <w:t>Future Work</w:t>
        <w:br/>
        <w:t>Related Specifications</w:t>
      </w:r>
    </w:p>
    <w:p>
      <w:pPr>
        <w:pStyle w:val="Heading2"/>
      </w:pPr>
      <w:r>
        <w:t>Architectural Decision Records</w:t>
      </w:r>
    </w:p>
    <w:p>
      <w:pPr>
        <w:pStyle w:val="ListBullet"/>
      </w:pPr>
      <w:r>
        <w:t>ADR-111 Specs authoritative.</w:t>
      </w:r>
    </w:p>
    <w:p>
      <w:pPr>
        <w:pStyle w:val="ListBullet"/>
      </w:pPr>
      <w:r>
        <w:t>ADR-112 RFC before breaking changes.</w:t>
      </w:r>
    </w:p>
    <w:p>
      <w:pPr>
        <w:pStyle w:val="ListBullet"/>
      </w:pPr>
      <w:r>
        <w:t>ADR-113 ADR lifecycle.</w:t>
      </w:r>
    </w:p>
    <w:p>
      <w:pPr>
        <w:pStyle w:val="ListBullet"/>
      </w:pPr>
      <w:r>
        <w:t>ADR-114 Semantic versioning.</w:t>
      </w:r>
    </w:p>
    <w:p>
      <w:pPr>
        <w:pStyle w:val="ListBullet"/>
      </w:pPr>
      <w:r>
        <w:t>ADR-115 LTS releases.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