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78"/>
          <w:sz w:val="20"/>
        </w:rPr>
        <w:t>MICROSOFT 365 COPILOT COWORK</w:t>
      </w:r>
    </w:p>
    <w:p>
      <w:pPr>
        <w:pStyle w:val="Title"/>
        <w:jc w:val="center"/>
      </w:pPr>
      <w:r>
        <w:t>Material 1. Reunión y contexto empresarial</w:t>
      </w:r>
    </w:p>
    <w:p>
      <w:pPr>
        <w:jc w:val="center"/>
      </w:pPr>
      <w:r>
        <w:rPr>
          <w:b/>
          <w:color w:val="2F75B5"/>
          <w:sz w:val="30"/>
        </w:rPr>
        <w:t>Expansión del servicio Compra y Recoge</w:t>
      </w:r>
    </w:p>
    <w:p>
      <w:pPr>
        <w:jc w:val="center"/>
      </w:pPr>
      <w:r>
        <w:rPr>
          <w:i/>
          <w:color w:val="595959"/>
          <w:sz w:val="20"/>
        </w:rPr>
        <w:t>Caso ficticio para capacitación · Comercializadora Valle Azul S.A.S.</w:t>
      </w:r>
    </w:p>
    <w:p>
      <w:pPr>
        <w:pStyle w:val="Heading1"/>
        <w:keepNext/>
      </w:pPr>
      <w:r>
        <w:t>1. Contexto del caso</w:t>
      </w:r>
    </w:p>
    <w:p>
      <w:r>
        <w:t>Comercializadora Valle Azul S.A.S. prepara la expansión del servicio Compra y Recoge a doce tiendas adicionales. La propuesta considera dos oleadas: seis tiendas el 18 de agosto de 2026 y seis tiendas el 8 de septiembre de 2026. La dirección necesita confirmar que la operación, la tecnología, la logística, la calidad y el presupuesto pueden sostener el crecimiento sin deteriorar la experiencia del cliente.</w:t>
      </w:r>
    </w:p>
    <w:p>
      <w:pPr>
        <w:pStyle w:val="Heading2"/>
        <w:keepNext/>
      </w:pPr>
      <w:r>
        <w:t>Situación empresarial</w:t>
      </w:r>
    </w:p>
    <w:p>
      <w:pPr>
        <w:pStyle w:val="ListBullet"/>
        <w:spacing w:after="40"/>
      </w:pPr>
      <w:r>
        <w:t>Los pedidos con retiro en tienda crecieron 31 % durante las últimas seis semanas.</w:t>
      </w:r>
    </w:p>
    <w:p>
      <w:pPr>
        <w:pStyle w:val="ListBullet"/>
        <w:spacing w:after="40"/>
      </w:pPr>
      <w:r>
        <w:t>El tiempo promedio de preparación aumentó de 42 a 57 minutos en las tiendas con mayor demanda.</w:t>
      </w:r>
    </w:p>
    <w:p>
      <w:pPr>
        <w:pStyle w:val="ListBullet"/>
        <w:spacing w:after="40"/>
      </w:pPr>
      <w:r>
        <w:t>La región Norte presenta retrasos de transporte y saturación de franjas de recogida.</w:t>
      </w:r>
    </w:p>
    <w:p>
      <w:pPr>
        <w:pStyle w:val="ListBullet"/>
        <w:spacing w:after="40"/>
      </w:pPr>
      <w:r>
        <w:t>La región Sur presenta no conformidades de empaque, sellado, rotulado y contenido.</w:t>
      </w:r>
    </w:p>
    <w:p>
      <w:pPr>
        <w:pStyle w:val="ListBullet"/>
        <w:spacing w:after="40"/>
      </w:pPr>
      <w:r>
        <w:t>Tecnología debe validar sincronización de inventario, notificaciones y continuidad durante interrupciones.</w:t>
      </w:r>
    </w:p>
    <w:p>
      <w:pPr>
        <w:pStyle w:val="ListBullet"/>
        <w:spacing w:after="40"/>
      </w:pPr>
      <w:r>
        <w:t>El presupuesto base disponible es de COP 27.500.000; cualquier contingencia adicional requiere evidencia y aprobación.</w:t>
      </w:r>
    </w:p>
    <w:p>
      <w:pPr>
        <w:pStyle w:val="Heading2"/>
        <w:keepNext/>
      </w:pPr>
      <w:r>
        <w:t>Criterios para mantener la primera oleada</w:t>
      </w:r>
    </w:p>
    <w:p>
      <w:pPr>
        <w:pStyle w:val="ListBullet"/>
        <w:spacing w:after="40"/>
      </w:pPr>
      <w:r>
        <w:t>Prueba logística de Norte completada sin incumplimientos críticos.</w:t>
      </w:r>
    </w:p>
    <w:p>
      <w:pPr>
        <w:pStyle w:val="ListBullet"/>
        <w:spacing w:after="40"/>
      </w:pPr>
      <w:r>
        <w:t>Conformidad de calidad igual o superior al 98 % durante cinco días consecutivos.</w:t>
      </w:r>
    </w:p>
    <w:p>
      <w:pPr>
        <w:pStyle w:val="ListBullet"/>
        <w:spacing w:after="40"/>
      </w:pPr>
      <w:r>
        <w:t>Pruebas tecnológicas sin incidentes críticos ni errores abiertos de severidad alta.</w:t>
      </w:r>
    </w:p>
    <w:p>
      <w:pPr>
        <w:pStyle w:val="ListBullet"/>
        <w:spacing w:after="40"/>
      </w:pPr>
      <w:r>
        <w:t>Responsables de tienda confirmados y capacitación terminada.</w:t>
      </w:r>
    </w:p>
    <w:p>
      <w:pPr>
        <w:pStyle w:val="ListBullet"/>
        <w:spacing w:after="40"/>
      </w:pPr>
      <w:r>
        <w:t>Presupuesto mínimo requerido aprobado antes de comunicar fechas definitivas.</w:t>
      </w:r>
    </w:p>
    <w:p>
      <w:pPr>
        <w:pStyle w:val="Heading2"/>
        <w:keepNext/>
      </w:pPr>
      <w:r>
        <w:t>Participantes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2324"/>
            <w:shd w:fill="17365D"/>
            <w:vAlign w:val="center"/>
            <w:tcMar>
              <w:top w:w="100" w:type="dxa"/>
              <w:start w:w="110" w:type="dxa"/>
              <w:bottom w:w="100" w:type="dxa"/>
              <w:end w:w="110" w:type="dxa"/>
            </w:tcMar>
          </w:tcPr>
          <w:p>
            <w:r>
              <w:rPr>
                <w:b/>
                <w:color w:val="FFFFFF"/>
              </w:rPr>
              <w:t>Persona ficticia</w:t>
            </w:r>
          </w:p>
        </w:tc>
        <w:tc>
          <w:tcPr>
            <w:tcW w:type="dxa" w:w="2381"/>
            <w:shd w:fill="17365D"/>
            <w:vAlign w:val="center"/>
            <w:tcMar>
              <w:top w:w="100" w:type="dxa"/>
              <w:start w:w="110" w:type="dxa"/>
              <w:bottom w:w="100" w:type="dxa"/>
              <w:end w:w="110" w:type="dxa"/>
            </w:tcMar>
          </w:tcPr>
          <w:p>
            <w:r>
              <w:rPr>
                <w:b/>
                <w:color w:val="FFFFFF"/>
              </w:rPr>
              <w:t>Rol</w:t>
            </w:r>
          </w:p>
        </w:tc>
        <w:tc>
          <w:tcPr>
            <w:tcW w:type="dxa" w:w="5102"/>
            <w:shd w:fill="17365D"/>
            <w:vAlign w:val="center"/>
            <w:tcMar>
              <w:top w:w="100" w:type="dxa"/>
              <w:start w:w="110" w:type="dxa"/>
              <w:bottom w:w="100" w:type="dxa"/>
              <w:end w:w="110" w:type="dxa"/>
            </w:tcMar>
          </w:tcPr>
          <w:p>
            <w:r>
              <w:rPr>
                <w:b/>
                <w:color w:val="FFFFFF"/>
              </w:rPr>
              <w:t>Responsabilidad</w:t>
            </w:r>
          </w:p>
        </w:tc>
      </w:tr>
      <w:tr>
        <w:trPr>
          <w:cantSplit w:val="true"/>
        </w:trPr>
        <w:tc>
          <w:tcPr>
            <w:tcW w:type="dxa" w:w="2324"/>
            <w:tcMar>
              <w:top w:w="100" w:type="dxa"/>
              <w:start w:w="110" w:type="dxa"/>
              <w:bottom w:w="100" w:type="dxa"/>
              <w:end w:w="110" w:type="dxa"/>
            </w:tcMar>
            <w:vAlign w:val="center"/>
          </w:tcPr>
          <w:p>
            <w:r>
              <w:rPr>
                <w:b/>
              </w:rPr>
              <w:t>Laura Méndez</w:t>
            </w:r>
          </w:p>
        </w:tc>
        <w:tc>
          <w:tcPr>
            <w:tcW w:type="dxa" w:w="2381"/>
            <w:tcMar>
              <w:top w:w="100" w:type="dxa"/>
              <w:start w:w="110" w:type="dxa"/>
              <w:bottom w:w="100" w:type="dxa"/>
              <w:end w:w="110" w:type="dxa"/>
            </w:tcMar>
            <w:vAlign w:val="center"/>
          </w:tcPr>
          <w:p>
            <w:r>
              <w:t>Directora Comercial</w:t>
            </w:r>
          </w:p>
        </w:tc>
        <w:tc>
          <w:tcPr>
            <w:tcW w:type="dxa" w:w="5102"/>
            <w:tcMar>
              <w:top w:w="100" w:type="dxa"/>
              <w:start w:w="110" w:type="dxa"/>
              <w:bottom w:w="100" w:type="dxa"/>
              <w:end w:w="110" w:type="dxa"/>
            </w:tcMar>
            <w:vAlign w:val="center"/>
          </w:tcPr>
          <w:p>
            <w:r>
              <w:t>Decisión comercial, mensajes de campaña y aprobación ejecutiva.</w:t>
            </w:r>
          </w:p>
        </w:tc>
      </w:tr>
      <w:tr>
        <w:trPr>
          <w:cantSplit w:val="true"/>
        </w:trPr>
        <w:tc>
          <w:tcPr>
            <w:tcW w:type="dxa" w:w="2324"/>
            <w:tcMar>
              <w:top w:w="100" w:type="dxa"/>
              <w:start w:w="110" w:type="dxa"/>
              <w:bottom w:w="100" w:type="dxa"/>
              <w:end w:w="110" w:type="dxa"/>
            </w:tcMar>
            <w:vAlign w:val="center"/>
          </w:tcPr>
          <w:p>
            <w:r>
              <w:rPr>
                <w:b/>
              </w:rPr>
              <w:t>Camilo Torres</w:t>
            </w:r>
          </w:p>
        </w:tc>
        <w:tc>
          <w:tcPr>
            <w:tcW w:type="dxa" w:w="2381"/>
            <w:tcMar>
              <w:top w:w="100" w:type="dxa"/>
              <w:start w:w="110" w:type="dxa"/>
              <w:bottom w:w="100" w:type="dxa"/>
              <w:end w:w="110" w:type="dxa"/>
            </w:tcMar>
            <w:vAlign w:val="center"/>
          </w:tcPr>
          <w:p>
            <w:r>
              <w:t>Coordinador de Expansión</w:t>
            </w:r>
          </w:p>
        </w:tc>
        <w:tc>
          <w:tcPr>
            <w:tcW w:type="dxa" w:w="5102"/>
            <w:tcMar>
              <w:top w:w="100" w:type="dxa"/>
              <w:start w:w="110" w:type="dxa"/>
              <w:bottom w:w="100" w:type="dxa"/>
              <w:end w:w="110" w:type="dxa"/>
            </w:tcMar>
            <w:vAlign w:val="center"/>
          </w:tcPr>
          <w:p>
            <w:r>
              <w:t>Consolidación de acuerdos, acciones, responsables y seguimiento.</w:t>
            </w:r>
          </w:p>
        </w:tc>
      </w:tr>
      <w:tr>
        <w:trPr>
          <w:cantSplit w:val="true"/>
        </w:trPr>
        <w:tc>
          <w:tcPr>
            <w:tcW w:type="dxa" w:w="2324"/>
            <w:tcMar>
              <w:top w:w="100" w:type="dxa"/>
              <w:start w:w="110" w:type="dxa"/>
              <w:bottom w:w="100" w:type="dxa"/>
              <w:end w:w="110" w:type="dxa"/>
            </w:tcMar>
            <w:vAlign w:val="center"/>
          </w:tcPr>
          <w:p>
            <w:r>
              <w:rPr>
                <w:b/>
              </w:rPr>
              <w:t>Andrés Cárdenas</w:t>
            </w:r>
          </w:p>
        </w:tc>
        <w:tc>
          <w:tcPr>
            <w:tcW w:type="dxa" w:w="2381"/>
            <w:tcMar>
              <w:top w:w="100" w:type="dxa"/>
              <w:start w:w="110" w:type="dxa"/>
              <w:bottom w:w="100" w:type="dxa"/>
              <w:end w:w="110" w:type="dxa"/>
            </w:tcMar>
            <w:vAlign w:val="center"/>
          </w:tcPr>
          <w:p>
            <w:r>
              <w:t>Gerente de Operaciones</w:t>
            </w:r>
          </w:p>
        </w:tc>
        <w:tc>
          <w:tcPr>
            <w:tcW w:type="dxa" w:w="5102"/>
            <w:tcMar>
              <w:top w:w="100" w:type="dxa"/>
              <w:start w:w="110" w:type="dxa"/>
              <w:bottom w:w="100" w:type="dxa"/>
              <w:end w:w="110" w:type="dxa"/>
            </w:tcMar>
            <w:vAlign w:val="center"/>
          </w:tcPr>
          <w:p>
            <w:r>
              <w:t>Capacidad en tienda, responsables, pruebas operativas y restricciones.</w:t>
            </w:r>
          </w:p>
        </w:tc>
      </w:tr>
      <w:tr>
        <w:trPr>
          <w:cantSplit w:val="true"/>
        </w:trPr>
        <w:tc>
          <w:tcPr>
            <w:tcW w:type="dxa" w:w="2324"/>
            <w:tcMar>
              <w:top w:w="100" w:type="dxa"/>
              <w:start w:w="110" w:type="dxa"/>
              <w:bottom w:w="100" w:type="dxa"/>
              <w:end w:w="110" w:type="dxa"/>
            </w:tcMar>
            <w:vAlign w:val="center"/>
          </w:tcPr>
          <w:p>
            <w:r>
              <w:rPr>
                <w:b/>
              </w:rPr>
              <w:t>Paula Ríos</w:t>
            </w:r>
          </w:p>
        </w:tc>
        <w:tc>
          <w:tcPr>
            <w:tcW w:type="dxa" w:w="2381"/>
            <w:tcMar>
              <w:top w:w="100" w:type="dxa"/>
              <w:start w:w="110" w:type="dxa"/>
              <w:bottom w:w="100" w:type="dxa"/>
              <w:end w:w="110" w:type="dxa"/>
            </w:tcMar>
            <w:vAlign w:val="center"/>
          </w:tcPr>
          <w:p>
            <w:r>
              <w:t>Líder de Tecnología</w:t>
            </w:r>
          </w:p>
        </w:tc>
        <w:tc>
          <w:tcPr>
            <w:tcW w:type="dxa" w:w="5102"/>
            <w:tcMar>
              <w:top w:w="100" w:type="dxa"/>
              <w:start w:w="110" w:type="dxa"/>
              <w:bottom w:w="100" w:type="dxa"/>
              <w:end w:w="110" w:type="dxa"/>
            </w:tcMar>
            <w:vAlign w:val="center"/>
          </w:tcPr>
          <w:p>
            <w:r>
              <w:t>Integración, monitoreo, pruebas, contingencia y guardia técnica.</w:t>
            </w:r>
          </w:p>
        </w:tc>
      </w:tr>
      <w:tr>
        <w:trPr>
          <w:cantSplit w:val="true"/>
        </w:trPr>
        <w:tc>
          <w:tcPr>
            <w:tcW w:type="dxa" w:w="2324"/>
            <w:tcMar>
              <w:top w:w="100" w:type="dxa"/>
              <w:start w:w="110" w:type="dxa"/>
              <w:bottom w:w="100" w:type="dxa"/>
              <w:end w:w="110" w:type="dxa"/>
            </w:tcMar>
            <w:vAlign w:val="center"/>
          </w:tcPr>
          <w:p>
            <w:r>
              <w:rPr>
                <w:b/>
              </w:rPr>
              <w:t>Valentina Gómez</w:t>
            </w:r>
          </w:p>
        </w:tc>
        <w:tc>
          <w:tcPr>
            <w:tcW w:type="dxa" w:w="2381"/>
            <w:tcMar>
              <w:top w:w="100" w:type="dxa"/>
              <w:start w:w="110" w:type="dxa"/>
              <w:bottom w:w="100" w:type="dxa"/>
              <w:end w:w="110" w:type="dxa"/>
            </w:tcMar>
            <w:vAlign w:val="center"/>
          </w:tcPr>
          <w:p>
            <w:r>
              <w:t>Analista Financiera Senior</w:t>
            </w:r>
          </w:p>
        </w:tc>
        <w:tc>
          <w:tcPr>
            <w:tcW w:type="dxa" w:w="5102"/>
            <w:tcMar>
              <w:top w:w="100" w:type="dxa"/>
              <w:start w:w="110" w:type="dxa"/>
              <w:bottom w:w="100" w:type="dxa"/>
              <w:end w:w="110" w:type="dxa"/>
            </w:tcMar>
            <w:vAlign w:val="center"/>
          </w:tcPr>
          <w:p>
            <w:r>
              <w:t>Presupuesto base, escenarios financieros y contingencia.</w:t>
            </w:r>
          </w:p>
        </w:tc>
      </w:tr>
      <w:tr>
        <w:trPr>
          <w:cantSplit w:val="true"/>
        </w:trPr>
        <w:tc>
          <w:tcPr>
            <w:tcW w:type="dxa" w:w="2324"/>
            <w:tcMar>
              <w:top w:w="100" w:type="dxa"/>
              <w:start w:w="110" w:type="dxa"/>
              <w:bottom w:w="100" w:type="dxa"/>
              <w:end w:w="110" w:type="dxa"/>
            </w:tcMar>
            <w:vAlign w:val="center"/>
          </w:tcPr>
          <w:p>
            <w:r>
              <w:rPr>
                <w:b/>
              </w:rPr>
              <w:t>Sofía Herrera</w:t>
            </w:r>
          </w:p>
        </w:tc>
        <w:tc>
          <w:tcPr>
            <w:tcW w:type="dxa" w:w="2381"/>
            <w:tcMar>
              <w:top w:w="100" w:type="dxa"/>
              <w:start w:w="110" w:type="dxa"/>
              <w:bottom w:w="100" w:type="dxa"/>
              <w:end w:w="110" w:type="dxa"/>
            </w:tcMar>
            <w:vAlign w:val="center"/>
          </w:tcPr>
          <w:p>
            <w:r>
              <w:t>Coordinadora de Calidad</w:t>
            </w:r>
          </w:p>
        </w:tc>
        <w:tc>
          <w:tcPr>
            <w:tcW w:type="dxa" w:w="5102"/>
            <w:tcMar>
              <w:top w:w="100" w:type="dxa"/>
              <w:start w:w="110" w:type="dxa"/>
              <w:bottom w:w="100" w:type="dxa"/>
              <w:end w:w="110" w:type="dxa"/>
            </w:tcMar>
            <w:vAlign w:val="center"/>
          </w:tcPr>
          <w:p>
            <w:r>
              <w:t>Auditorías, capacitación, no conformidades y criterios de cierre.</w:t>
            </w:r>
          </w:p>
        </w:tc>
      </w:tr>
      <w:tr>
        <w:trPr>
          <w:cantSplit w:val="true"/>
        </w:trPr>
        <w:tc>
          <w:tcPr>
            <w:tcW w:type="dxa" w:w="2324"/>
            <w:tcMar>
              <w:top w:w="100" w:type="dxa"/>
              <w:start w:w="110" w:type="dxa"/>
              <w:bottom w:w="100" w:type="dxa"/>
              <w:end w:w="110" w:type="dxa"/>
            </w:tcMar>
            <w:vAlign w:val="center"/>
          </w:tcPr>
          <w:p>
            <w:r>
              <w:rPr>
                <w:b/>
              </w:rPr>
              <w:t>Mateo Salazar</w:t>
            </w:r>
          </w:p>
        </w:tc>
        <w:tc>
          <w:tcPr>
            <w:tcW w:type="dxa" w:w="2381"/>
            <w:tcMar>
              <w:top w:w="100" w:type="dxa"/>
              <w:start w:w="110" w:type="dxa"/>
              <w:bottom w:w="100" w:type="dxa"/>
              <w:end w:w="110" w:type="dxa"/>
            </w:tcMar>
            <w:vAlign w:val="center"/>
          </w:tcPr>
          <w:p>
            <w:r>
              <w:t>Coordinador de Logística</w:t>
            </w:r>
          </w:p>
        </w:tc>
        <w:tc>
          <w:tcPr>
            <w:tcW w:type="dxa" w:w="5102"/>
            <w:tcMar>
              <w:top w:w="100" w:type="dxa"/>
              <w:start w:w="110" w:type="dxa"/>
              <w:bottom w:w="100" w:type="dxa"/>
              <w:end w:w="110" w:type="dxa"/>
            </w:tcMar>
            <w:vAlign w:val="center"/>
          </w:tcPr>
          <w:p>
            <w:r>
              <w:t>Relación con el proveedor, rutas, ventanas y capacidad de transporte.</w:t>
            </w:r>
          </w:p>
        </w:tc>
      </w:tr>
    </w:tbl>
    <w:p>
      <w:pPr>
        <w:pStyle w:val="Heading1"/>
        <w:keepNext/>
      </w:pPr>
      <w:r>
        <w:t>2. Reunión de seguimiento</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4986"/>
            <w:shd w:fill="D9EAF7"/>
            <w:tcMar>
              <w:top w:w="100" w:type="dxa"/>
              <w:start w:w="110" w:type="dxa"/>
              <w:bottom w:w="100" w:type="dxa"/>
              <w:end w:w="110" w:type="dxa"/>
            </w:tcMar>
            <w:vAlign w:val="center"/>
          </w:tcPr>
          <w:p>
            <w:r>
              <w:rPr>
                <w:b/>
              </w:rPr>
              <w:t>Título</w:t>
            </w:r>
          </w:p>
        </w:tc>
        <w:tc>
          <w:tcPr>
            <w:tcW w:type="dxa" w:w="4986"/>
            <w:tcMar>
              <w:top w:w="100" w:type="dxa"/>
              <w:start w:w="110" w:type="dxa"/>
              <w:bottom w:w="100" w:type="dxa"/>
              <w:end w:w="110" w:type="dxa"/>
            </w:tcMar>
            <w:vAlign w:val="center"/>
          </w:tcPr>
          <w:p>
            <w:r>
              <w:t>Expansión Compra y Recoge - Seguimiento operativo</w:t>
            </w:r>
          </w:p>
        </w:tc>
      </w:tr>
      <w:tr>
        <w:trPr>
          <w:cantSplit w:val="true"/>
        </w:trPr>
        <w:tc>
          <w:tcPr>
            <w:tcW w:type="dxa" w:w="4986"/>
            <w:shd w:fill="D9EAF7"/>
            <w:tcMar>
              <w:top w:w="100" w:type="dxa"/>
              <w:start w:w="110" w:type="dxa"/>
              <w:bottom w:w="100" w:type="dxa"/>
              <w:end w:w="110" w:type="dxa"/>
            </w:tcMar>
            <w:vAlign w:val="center"/>
          </w:tcPr>
          <w:p>
            <w:r>
              <w:rPr>
                <w:b/>
              </w:rPr>
              <w:t>Fecha sugerida</w:t>
            </w:r>
          </w:p>
        </w:tc>
        <w:tc>
          <w:tcPr>
            <w:tcW w:type="dxa" w:w="4986"/>
            <w:tcMar>
              <w:top w:w="100" w:type="dxa"/>
              <w:start w:w="110" w:type="dxa"/>
              <w:bottom w:w="100" w:type="dxa"/>
              <w:end w:w="110" w:type="dxa"/>
            </w:tcMar>
            <w:vAlign w:val="center"/>
          </w:tcPr>
          <w:p>
            <w:r>
              <w:t>28 de julio de 2026</w:t>
            </w:r>
          </w:p>
        </w:tc>
      </w:tr>
      <w:tr>
        <w:trPr>
          <w:cantSplit w:val="true"/>
        </w:trPr>
        <w:tc>
          <w:tcPr>
            <w:tcW w:type="dxa" w:w="4986"/>
            <w:shd w:fill="D9EAF7"/>
            <w:tcMar>
              <w:top w:w="100" w:type="dxa"/>
              <w:start w:w="110" w:type="dxa"/>
              <w:bottom w:w="100" w:type="dxa"/>
              <w:end w:w="110" w:type="dxa"/>
            </w:tcMar>
            <w:vAlign w:val="center"/>
          </w:tcPr>
          <w:p>
            <w:r>
              <w:rPr>
                <w:b/>
              </w:rPr>
              <w:t>Duración</w:t>
            </w:r>
          </w:p>
        </w:tc>
        <w:tc>
          <w:tcPr>
            <w:tcW w:type="dxa" w:w="4986"/>
            <w:tcMar>
              <w:top w:w="100" w:type="dxa"/>
              <w:start w:w="110" w:type="dxa"/>
              <w:bottom w:w="100" w:type="dxa"/>
              <w:end w:w="110" w:type="dxa"/>
            </w:tcMar>
            <w:vAlign w:val="center"/>
          </w:tcPr>
          <w:p>
            <w:r>
              <w:t>20 a 25 minutos</w:t>
            </w:r>
          </w:p>
        </w:tc>
      </w:tr>
      <w:tr>
        <w:trPr>
          <w:cantSplit w:val="true"/>
        </w:trPr>
        <w:tc>
          <w:tcPr>
            <w:tcW w:type="dxa" w:w="4986"/>
            <w:shd w:fill="D9EAF7"/>
            <w:tcMar>
              <w:top w:w="100" w:type="dxa"/>
              <w:start w:w="110" w:type="dxa"/>
              <w:bottom w:w="100" w:type="dxa"/>
              <w:end w:w="110" w:type="dxa"/>
            </w:tcMar>
            <w:vAlign w:val="center"/>
          </w:tcPr>
          <w:p>
            <w:r>
              <w:rPr>
                <w:b/>
              </w:rPr>
              <w:t>Participantes</w:t>
            </w:r>
          </w:p>
        </w:tc>
        <w:tc>
          <w:tcPr>
            <w:tcW w:type="dxa" w:w="4986"/>
            <w:tcMar>
              <w:top w:w="100" w:type="dxa"/>
              <w:start w:w="110" w:type="dxa"/>
              <w:bottom w:w="100" w:type="dxa"/>
              <w:end w:w="110" w:type="dxa"/>
            </w:tcMar>
            <w:vAlign w:val="center"/>
          </w:tcPr>
          <w:p>
            <w:r>
              <w:t>Laura, Camilo, Andrés, Paula, Valentina, Sofía y Mateo</w:t>
            </w:r>
          </w:p>
        </w:tc>
      </w:tr>
      <w:tr>
        <w:trPr>
          <w:cantSplit w:val="true"/>
        </w:trPr>
        <w:tc>
          <w:tcPr>
            <w:tcW w:type="dxa" w:w="4986"/>
            <w:shd w:fill="D9EAF7"/>
            <w:tcMar>
              <w:top w:w="100" w:type="dxa"/>
              <w:start w:w="110" w:type="dxa"/>
              <w:bottom w:w="100" w:type="dxa"/>
              <w:end w:w="110" w:type="dxa"/>
            </w:tcMar>
            <w:vAlign w:val="center"/>
          </w:tcPr>
          <w:p>
            <w:r>
              <w:rPr>
                <w:b/>
              </w:rPr>
              <w:t>Objetivo</w:t>
            </w:r>
          </w:p>
        </w:tc>
        <w:tc>
          <w:tcPr>
            <w:tcW w:type="dxa" w:w="4986"/>
            <w:tcMar>
              <w:top w:w="100" w:type="dxa"/>
              <w:start w:w="110" w:type="dxa"/>
              <w:bottom w:w="100" w:type="dxa"/>
              <w:end w:w="110" w:type="dxa"/>
            </w:tcMar>
            <w:vAlign w:val="center"/>
          </w:tcPr>
          <w:p>
            <w:r>
              <w:t>Definir condiciones de salida, responsables, fechas, dependencias, presupuesto y riesgos antes de confirmar la primera oleada.</w:t>
            </w:r>
          </w:p>
        </w:tc>
      </w:tr>
    </w:tbl>
    <w:p>
      <w:pPr>
        <w:pStyle w:val="Heading2"/>
        <w:keepNext/>
      </w:pPr>
      <w:r>
        <w:t>Transcripción sugerida</w:t>
      </w:r>
    </w:p>
    <w:p>
      <w:r>
        <w:t>Utiliza este guion durante la reunión para generar una transcripción de Teams coherente con el resto de los materiales del taller.</w:t>
      </w:r>
    </w:p>
    <w:p>
      <w:pPr>
        <w:pStyle w:val="Heading3"/>
        <w:keepNext/>
      </w:pPr>
      <w:r>
        <w:t>Inicio de la reunión</w:t>
      </w:r>
    </w:p>
    <w:p>
      <w:pPr>
        <w:spacing w:after="100"/>
      </w:pPr>
      <w:r>
        <w:rPr>
          <w:b/>
          <w:color w:val="17365D"/>
        </w:rPr>
        <w:t xml:space="preserve">Camilo Torres: </w:t>
      </w:r>
      <w:r>
        <w:t>Buenos días a todos. El objetivo de esta reunión es revisar el estado de la expansión del servicio Compra y Recoge y determinar si podemos mantener las fechas propuestas para las dos oleadas. La primera oleada contempla seis tiendas para el 18 de agosto y la segunda otras seis tiendas para el 8 de septiembre. Hoy necesitamos revisar cuatro puntos: la situación logística de la región Norte, los problemas de calidad de la región Sur, la preparación tecnológica y el presupuesto requerido. También debemos definir responsables y próximos pasos.</w:t>
      </w:r>
    </w:p>
    <w:p>
      <w:pPr>
        <w:spacing w:after="100"/>
      </w:pPr>
      <w:r>
        <w:rPr>
          <w:b/>
          <w:color w:val="17365D"/>
        </w:rPr>
        <w:t xml:space="preserve">Laura Méndez: </w:t>
      </w:r>
      <w:r>
        <w:t>Gracias, Camilo. Desde Comercial necesitamos claridad antes de confirmar cualquier fecha públicamente. La demanda del servicio ha crecido y existe presión para ampliar la cobertura, pero no podemos comprometer la experiencia del cliente. Quiero que al terminar tengamos una posición clara sobre la primera oleada y una lista concreta de condiciones que deban cumplirse.</w:t>
      </w:r>
    </w:p>
    <w:p>
      <w:pPr>
        <w:pStyle w:val="Heading3"/>
        <w:keepNext/>
      </w:pPr>
      <w:r>
        <w:t>Estado general de la expansión</w:t>
      </w:r>
    </w:p>
    <w:p>
      <w:pPr>
        <w:spacing w:after="100"/>
      </w:pPr>
      <w:r>
        <w:rPr>
          <w:b/>
          <w:color w:val="17365D"/>
        </w:rPr>
        <w:t xml:space="preserve">Camilo Torres: </w:t>
      </w:r>
      <w:r>
        <w:t>Como contexto, los pedidos de Compra y Recoge aumentaron un 31 % durante las últimas seis semanas. Al mismo tiempo, el tiempo promedio de preparación pasó de 42 a 57 minutos en las tiendas con mayor demanda. La propuesta actual sigue siendo habilitar doce tiendas, pero encontramos riesgos diferentes en Norte y Sur que debemos analizar por separado. Andrés, ¿puedes comenzar con el estado operativo?</w:t>
      </w:r>
    </w:p>
    <w:p>
      <w:pPr>
        <w:spacing w:after="100"/>
      </w:pPr>
      <w:r>
        <w:rPr>
          <w:b/>
          <w:color w:val="17365D"/>
        </w:rPr>
        <w:t xml:space="preserve">Andrés Cárdenas: </w:t>
      </w:r>
      <w:r>
        <w:t>Desde Operaciones consideramos que la primera oleada todavía es viable, pero no recomiendo confirmar las doce tiendas en este momento. Tenemos dos situaciones distintas. En Norte enfrentamos un problema logístico y de capacidad. En Sur tenemos un problema de calidad durante la preparación de los pedidos. Es importante no mezclar ambos asuntos porque requieren controles diferentes.</w:t>
      </w:r>
    </w:p>
    <w:p>
      <w:pPr>
        <w:pStyle w:val="Heading3"/>
        <w:keepNext/>
      </w:pPr>
      <w:r>
        <w:t>Situación logística de la región Norte</w:t>
      </w:r>
    </w:p>
    <w:p>
      <w:pPr>
        <w:spacing w:after="100"/>
      </w:pPr>
      <w:r>
        <w:rPr>
          <w:b/>
          <w:color w:val="17365D"/>
        </w:rPr>
        <w:t xml:space="preserve">Andrés Cárdenas: </w:t>
      </w:r>
      <w:r>
        <w:t>En la región Norte se han presentado retrasos en las transferencias internas y congestión en las franjas de recogida entre las cinco y las ocho de la noche. Cuatro tiendas recibieron mercancía después del horario previsto. Además, dos tiendas superaron la capacidad disponible en su zona temporal de almacenamiento. La propuesta es establecer un límite inicial de 35 pedidos diarios por tienda durante la primera semana y realizar una prueba operativa antes de aprobar la apertura.</w:t>
      </w:r>
    </w:p>
    <w:p>
      <w:pPr>
        <w:spacing w:after="100"/>
      </w:pPr>
      <w:r>
        <w:rPr>
          <w:b/>
          <w:color w:val="17365D"/>
        </w:rPr>
        <w:t xml:space="preserve">Mateo Salazar: </w:t>
      </w:r>
      <w:r>
        <w:t>Ya revisamos el caso con Logística Andina. El proveedor puede habilitar una ruta adicional para Norte 2 y Norte 4, además de una segunda ventana de entrega para Norte 7 y Norte 9. La propuesta tendría una duración inicial de seis semanas.</w:t>
      </w:r>
    </w:p>
    <w:p>
      <w:pPr>
        <w:spacing w:after="100"/>
      </w:pPr>
      <w:r>
        <w:rPr>
          <w:b/>
          <w:color w:val="17365D"/>
        </w:rPr>
        <w:t xml:space="preserve">Laura Méndez: </w:t>
      </w:r>
      <w:r>
        <w:t>¿Esa capacidad adicional garantiza que no tendremos retrasos?</w:t>
      </w:r>
    </w:p>
    <w:p>
      <w:pPr>
        <w:spacing w:after="100"/>
      </w:pPr>
      <w:r>
        <w:rPr>
          <w:b/>
          <w:color w:val="17365D"/>
        </w:rPr>
        <w:t xml:space="preserve">Mateo Salazar: </w:t>
      </w:r>
      <w:r>
        <w:t>No completamente. Reduce el riesgo de retraso, pero no resuelve la saturación del área de preparación y almacenamiento en las tiendas. También necesitamos mantener el límite temporal de pedidos diarios y asegurar que las zonas de recepción estén disponibles en las nuevas franjas.</w:t>
      </w:r>
    </w:p>
    <w:p>
      <w:pPr>
        <w:spacing w:after="100"/>
      </w:pPr>
      <w:r>
        <w:rPr>
          <w:b/>
          <w:color w:val="17365D"/>
        </w:rPr>
        <w:t xml:space="preserve">Camilo Torres: </w:t>
      </w:r>
      <w:r>
        <w:t>Entonces podemos registrar que la ruta adicional es una medida de mitigación, pero no una solución completa.</w:t>
      </w:r>
    </w:p>
    <w:p>
      <w:pPr>
        <w:spacing w:after="100"/>
      </w:pPr>
      <w:r>
        <w:rPr>
          <w:b/>
          <w:color w:val="17365D"/>
        </w:rPr>
        <w:t xml:space="preserve">Andrés Cárdenas: </w:t>
      </w:r>
      <w:r>
        <w:t>Correcto. Además, recomiendo realizar la prueba operativa el 11 de agosto. La apertura del 18 de agosto debería depender de los resultados de esa prueba.</w:t>
      </w:r>
    </w:p>
    <w:p>
      <w:pPr>
        <w:pStyle w:val="Heading3"/>
        <w:keepNext/>
      </w:pPr>
      <w:r>
        <w:t>Situación de calidad de la región Sur</w:t>
      </w:r>
    </w:p>
    <w:p>
      <w:pPr>
        <w:spacing w:after="100"/>
      </w:pPr>
      <w:r>
        <w:rPr>
          <w:b/>
          <w:color w:val="17365D"/>
        </w:rPr>
        <w:t xml:space="preserve">Camilo Torres: </w:t>
      </w:r>
      <w:r>
        <w:t>Sofía, ¿puedes explicarnos el caso de Sur?</w:t>
      </w:r>
    </w:p>
    <w:p>
      <w:pPr>
        <w:spacing w:after="100"/>
      </w:pPr>
      <w:r>
        <w:rPr>
          <w:b/>
          <w:color w:val="17365D"/>
        </w:rPr>
        <w:t xml:space="preserve">Sofía Herrera: </w:t>
      </w:r>
      <w:r>
        <w:t>Revisamos 385 pedidos preparados entre el 29 de junio y el 19 de julio. Encontramos 30 pedidos con al menos una no conformidad, lo que representa un 7,8 % de la muestra. Los principales problemas fueron sellos incompletos, etiquetas ilegibles y diferencias entre las unidades solicitadas y las unidades preparadas. El 83 % de los hallazgos ocurrió durante la preparación y verificación dentro de la tienda. No tenemos evidencia suficiente para decir que el proveedor de transporte sea la causa principal.</w:t>
      </w:r>
    </w:p>
    <w:p>
      <w:pPr>
        <w:spacing w:after="100"/>
      </w:pPr>
      <w:r>
        <w:rPr>
          <w:b/>
          <w:color w:val="17365D"/>
        </w:rPr>
        <w:t xml:space="preserve">Laura Méndez: </w:t>
      </w:r>
      <w:r>
        <w:t>¿Cuáles tiendas presentan mayor riesgo?</w:t>
      </w:r>
    </w:p>
    <w:p>
      <w:pPr>
        <w:spacing w:after="100"/>
      </w:pPr>
      <w:r>
        <w:rPr>
          <w:b/>
          <w:color w:val="17365D"/>
        </w:rPr>
        <w:t xml:space="preserve">Sofía Herrera: </w:t>
      </w:r>
      <w:r>
        <w:t>Sur 3 y Sur 6. Mi recomendación es que no participen en la primera oleada hasta demostrar una tasa de conformidad mínima del 98 % durante cinco días consecutivos.</w:t>
      </w:r>
    </w:p>
    <w:p>
      <w:pPr>
        <w:spacing w:after="100"/>
      </w:pPr>
      <w:r>
        <w:rPr>
          <w:b/>
          <w:color w:val="17365D"/>
        </w:rPr>
        <w:t xml:space="preserve">Andrés Cárdenas: </w:t>
      </w:r>
      <w:r>
        <w:t>Estoy de acuerdo. Podemos reemplazarlas por otras tiendas que ya tengan mayor nivel de preparación.</w:t>
      </w:r>
    </w:p>
    <w:p>
      <w:pPr>
        <w:spacing w:after="100"/>
      </w:pPr>
      <w:r>
        <w:rPr>
          <w:b/>
          <w:color w:val="17365D"/>
        </w:rPr>
        <w:t xml:space="preserve">Camilo Torres: </w:t>
      </w:r>
      <w:r>
        <w:t>¿Qué acciones deben completarse antes de tomar esa decisión?</w:t>
      </w:r>
    </w:p>
    <w:p>
      <w:pPr>
        <w:spacing w:after="100"/>
      </w:pPr>
      <w:r>
        <w:rPr>
          <w:b/>
          <w:color w:val="17365D"/>
        </w:rPr>
        <w:t xml:space="preserve">Sofía Herrera: </w:t>
      </w:r>
      <w:r>
        <w:t>Necesitamos publicar una única lista de verificación, capacitar a supervisores y auxiliares, aplicar una doble validación durante diez días y auditar 50 pedidos por tienda. Podemos entregar un primer reporte consolidado el 4 de agosto y el informe final el 10 de agosto.</w:t>
      </w:r>
    </w:p>
    <w:p>
      <w:pPr>
        <w:spacing w:after="100"/>
      </w:pPr>
      <w:r>
        <w:rPr>
          <w:b/>
          <w:color w:val="17365D"/>
        </w:rPr>
        <w:t xml:space="preserve">Laura Méndez: </w:t>
      </w:r>
      <w:r>
        <w:t>Queda entonces como condición que Sur 3 y Sur 6 no entren en la primera oleada, salvo que cumplan el criterio del 98 %.</w:t>
      </w:r>
    </w:p>
    <w:p>
      <w:pPr>
        <w:pStyle w:val="Heading3"/>
        <w:keepNext/>
      </w:pPr>
      <w:r>
        <w:t>Preparación tecnológica</w:t>
      </w:r>
    </w:p>
    <w:p>
      <w:pPr>
        <w:spacing w:after="100"/>
      </w:pPr>
      <w:r>
        <w:rPr>
          <w:b/>
          <w:color w:val="17365D"/>
        </w:rPr>
        <w:t xml:space="preserve">Camilo Torres: </w:t>
      </w:r>
      <w:r>
        <w:t>Paula, ¿cuál es la situación tecnológica?</w:t>
      </w:r>
    </w:p>
    <w:p>
      <w:pPr>
        <w:spacing w:after="100"/>
      </w:pPr>
      <w:r>
        <w:rPr>
          <w:b/>
          <w:color w:val="17365D"/>
        </w:rPr>
        <w:t xml:space="preserve">Paula Ríos: </w:t>
      </w:r>
      <w:r>
        <w:t>La integración entre el comercio electrónico y el sistema de punto de venta está funcionando de manera estable en las tiendas actuales. Sin embargo, detectamos dos riesgos. El primero ocurre cuando una tienda pierde conectividad durante más de cuatro minutos. En ese caso, la actualización de inventario puede quedar en cola y generar diferencias temporales. El segundo riesgo es la duplicación ocasional de notificaciones cuando un pedido cambia de “Preparación” a “Listo para recoger”.</w:t>
      </w:r>
    </w:p>
    <w:p>
      <w:pPr>
        <w:spacing w:after="100"/>
      </w:pPr>
      <w:r>
        <w:rPr>
          <w:b/>
          <w:color w:val="17365D"/>
        </w:rPr>
        <w:t xml:space="preserve">Laura Méndez: </w:t>
      </w:r>
      <w:r>
        <w:t>¿Estos problemas bloquean la primera oleada?</w:t>
      </w:r>
    </w:p>
    <w:p>
      <w:pPr>
        <w:spacing w:after="100"/>
      </w:pPr>
      <w:r>
        <w:rPr>
          <w:b/>
          <w:color w:val="17365D"/>
        </w:rPr>
        <w:t xml:space="preserve">Paula Ríos: </w:t>
      </w:r>
      <w:r>
        <w:t>No necesariamente, pero debemos completar las pruebas antes de abrir las nuevas tiendas. Vamos a aplicar el ajuste del servicio de notificaciones el 28 de julio y realizar pruebas integrales entre el 3 y el 6 de agosto. También necesitamos monitoreo reforzado y un procedimiento manual para validar inventario cuando exista una interrupción.</w:t>
      </w:r>
    </w:p>
    <w:p>
      <w:pPr>
        <w:spacing w:after="100"/>
      </w:pPr>
      <w:r>
        <w:rPr>
          <w:b/>
          <w:color w:val="17365D"/>
        </w:rPr>
        <w:t xml:space="preserve">Camilo Torres: </w:t>
      </w:r>
      <w:r>
        <w:t>¿Recomiendas soporte técnico durante el lanzamiento?</w:t>
      </w:r>
    </w:p>
    <w:p>
      <w:pPr>
        <w:spacing w:after="100"/>
      </w:pPr>
      <w:r>
        <w:rPr>
          <w:b/>
          <w:color w:val="17365D"/>
        </w:rPr>
        <w:t xml:space="preserve">Paula Ríos: </w:t>
      </w:r>
      <w:r>
        <w:t>Sí. Propongo una guardia técnica de siete de la mañana a nueve de la noche durante los primeros tres días de cada oleada. La fecha del 18 de agosto será viable si las pruebas terminan sin incidentes críticos y no quedan errores abiertos de severidad alta.</w:t>
      </w:r>
    </w:p>
    <w:p>
      <w:pPr>
        <w:spacing w:after="100"/>
      </w:pPr>
      <w:r>
        <w:rPr>
          <w:b/>
          <w:color w:val="17365D"/>
        </w:rPr>
        <w:t xml:space="preserve">Andrés Cárdenas: </w:t>
      </w:r>
      <w:r>
        <w:t>También necesitamos confirmar la lista definitiva de tiendas antes del 29 de julio para que Tecnología pueda configurar el monitoreo.</w:t>
      </w:r>
    </w:p>
    <w:p>
      <w:pPr>
        <w:spacing w:after="100"/>
      </w:pPr>
      <w:r>
        <w:rPr>
          <w:b/>
          <w:color w:val="17365D"/>
        </w:rPr>
        <w:t xml:space="preserve">Camilo Torres: </w:t>
      </w:r>
      <w:r>
        <w:t>Queda registrada esa dependencia.</w:t>
      </w:r>
    </w:p>
    <w:p>
      <w:pPr>
        <w:pStyle w:val="Heading3"/>
        <w:keepNext/>
      </w:pPr>
      <w:r>
        <w:t>Revisión financiera</w:t>
      </w:r>
    </w:p>
    <w:p>
      <w:pPr>
        <w:spacing w:after="100"/>
      </w:pPr>
      <w:r>
        <w:rPr>
          <w:b/>
          <w:color w:val="17365D"/>
        </w:rPr>
        <w:t xml:space="preserve">Camilo Torres: </w:t>
      </w:r>
      <w:r>
        <w:t>Valentina, ¿tenemos presupuesto suficiente para estas acciones?</w:t>
      </w:r>
    </w:p>
    <w:p>
      <w:pPr>
        <w:spacing w:after="100"/>
      </w:pPr>
      <w:r>
        <w:rPr>
          <w:b/>
          <w:color w:val="17365D"/>
        </w:rPr>
        <w:t xml:space="preserve">Valentina Gómez: </w:t>
      </w:r>
      <w:r>
        <w:t>El proyecto dispone de COP 27.500.000 sin comprometer dentro del presupuesto aprobado para el tercer trimestre. Ese monto puede cubrir capacitación, materiales de empaque, señalización y parte de la guardia técnica. Sin embargo, las solicitudes adicionales superan el saldo disponible. La propuesta de Logística Andina es de COP 18.600.000. Tecnología estima COP 9.800.000 para monitoreo y soporte extendido. Operaciones calcula hasta COP 14.200.000 para adecuaciones, horas adicionales y elementos de almacenamiento.</w:t>
      </w:r>
    </w:p>
    <w:p>
      <w:pPr>
        <w:spacing w:after="100"/>
      </w:pPr>
      <w:r>
        <w:rPr>
          <w:b/>
          <w:color w:val="17365D"/>
        </w:rPr>
        <w:t xml:space="preserve">Laura Méndez: </w:t>
      </w:r>
      <w:r>
        <w:t>¿Podemos utilizar una contingencia?</w:t>
      </w:r>
    </w:p>
    <w:p>
      <w:pPr>
        <w:spacing w:after="100"/>
      </w:pPr>
      <w:r>
        <w:rPr>
          <w:b/>
          <w:color w:val="17365D"/>
        </w:rPr>
        <w:t xml:space="preserve">Valentina Gómez: </w:t>
      </w:r>
      <w:r>
        <w:t>Podemos proponer una contingencia adicional de hasta COP 20.000.000, pero no está aprobada. Cada gasto debe contar con evidencia, cotización, responsable, periodo de uso y criterio de cierre. También requiere aprobación conjunta de Dirección Comercial y Dirección Financiera.</w:t>
      </w:r>
    </w:p>
    <w:p>
      <w:pPr>
        <w:spacing w:after="100"/>
      </w:pPr>
      <w:r>
        <w:rPr>
          <w:b/>
          <w:color w:val="17365D"/>
        </w:rPr>
        <w:t xml:space="preserve">Camilo Torres: </w:t>
      </w:r>
      <w:r>
        <w:t>Entonces no debemos registrar la contingencia como presupuesto disponible.</w:t>
      </w:r>
    </w:p>
    <w:p>
      <w:pPr>
        <w:spacing w:after="100"/>
      </w:pPr>
      <w:r>
        <w:rPr>
          <w:b/>
          <w:color w:val="17365D"/>
        </w:rPr>
        <w:t xml:space="preserve">Valentina Gómez: </w:t>
      </w:r>
      <w:r>
        <w:t>Exactamente. Es una propuesta condicionada, no una aprobación. Recomiendo preparar tres escenarios: mínimo, recomendado y máximo. Cada escenario debe mostrar su impacto en fecha, costo y nivel de riesgo.</w:t>
      </w:r>
    </w:p>
    <w:p>
      <w:pPr>
        <w:spacing w:after="100"/>
      </w:pPr>
      <w:r>
        <w:rPr>
          <w:b/>
          <w:color w:val="17365D"/>
        </w:rPr>
        <w:t xml:space="preserve">Laura Méndez: </w:t>
      </w:r>
      <w:r>
        <w:t>De acuerdo. Prioricemos la ruta adicional de Norte y la guardia técnica de la primera oleada. Las adecuaciones permanentes pueden revisarse después de observar el comportamiento de las primeras seis tiendas.</w:t>
      </w:r>
    </w:p>
    <w:p>
      <w:pPr>
        <w:pStyle w:val="Heading3"/>
        <w:keepNext/>
      </w:pPr>
      <w:r>
        <w:t>Definición de acciones</w:t>
      </w:r>
    </w:p>
    <w:p>
      <w:pPr>
        <w:spacing w:after="100"/>
      </w:pPr>
      <w:r>
        <w:rPr>
          <w:b/>
          <w:color w:val="17365D"/>
        </w:rPr>
        <w:t xml:space="preserve">Camilo Torres: </w:t>
      </w:r>
      <w:r>
        <w:t>Voy a resumir las acciones propuestas. Mateo debe confirmar con Logística Andina el alcance final de la ruta adicional y la vigencia de la propuesta antes del 30 de julio. Andrés debe entregar la lista definitiva de tiendas y responsables antes del 29 de julio. Sofía ejecutará la capacitación y las auditorías de calidad; el primer informe estará disponible el 4 de agosto. Paula aplicará el ajuste de notificaciones el 28 de julio y realizará las pruebas integrales entre el 3 y el 6 de agosto. Valentina preparará los escenarios financieros mínimo, recomendado y máximo. Laura definirá si la campaña comercial puede mantener mensajes flexibles hasta que las fechas sean aprobadas. ¿Falta alguna acción?</w:t>
      </w:r>
    </w:p>
    <w:p>
      <w:pPr>
        <w:spacing w:after="100"/>
      </w:pPr>
      <w:r>
        <w:rPr>
          <w:b/>
          <w:color w:val="17365D"/>
        </w:rPr>
        <w:t xml:space="preserve">Mateo Salazar: </w:t>
      </w:r>
      <w:r>
        <w:t>Debemos agregar que las tiendas deben confirmar la disponibilidad de las zonas de recepción en los nuevos horarios.</w:t>
      </w:r>
    </w:p>
    <w:p>
      <w:pPr>
        <w:spacing w:after="100"/>
      </w:pPr>
      <w:r>
        <w:rPr>
          <w:b/>
          <w:color w:val="17365D"/>
        </w:rPr>
        <w:t xml:space="preserve">Andrés Cárdenas: </w:t>
      </w:r>
      <w:r>
        <w:t>Yo puedo incluir esa validación dentro de la revisión operativa.</w:t>
      </w:r>
    </w:p>
    <w:p>
      <w:pPr>
        <w:spacing w:after="100"/>
      </w:pPr>
      <w:r>
        <w:rPr>
          <w:b/>
          <w:color w:val="17365D"/>
        </w:rPr>
        <w:t xml:space="preserve">Paula Ríos: </w:t>
      </w:r>
      <w:r>
        <w:t>También necesitamos que Comercial entregue los textos definitivos de las notificaciones antes del 31 de julio.</w:t>
      </w:r>
    </w:p>
    <w:p>
      <w:pPr>
        <w:spacing w:after="100"/>
      </w:pPr>
      <w:r>
        <w:rPr>
          <w:b/>
          <w:color w:val="17365D"/>
        </w:rPr>
        <w:t xml:space="preserve">Laura Méndez: </w:t>
      </w:r>
      <w:r>
        <w:t>Lo tomo como responsabilidad de mi equipo.</w:t>
      </w:r>
    </w:p>
    <w:p>
      <w:pPr>
        <w:pStyle w:val="Heading3"/>
        <w:keepNext/>
      </w:pPr>
      <w:r>
        <w:t>Decisiones y condiciones de salida</w:t>
      </w:r>
    </w:p>
    <w:p>
      <w:pPr>
        <w:spacing w:after="100"/>
      </w:pPr>
      <w:r>
        <w:rPr>
          <w:b/>
          <w:color w:val="17365D"/>
        </w:rPr>
        <w:t xml:space="preserve">Camilo Torres: </w:t>
      </w:r>
      <w:r>
        <w:t>Propongo mantener provisionalmente el 18 de agosto para seis tiendas, sujeto a cinco condiciones: prueba logística de Norte sin incumplimientos críticos; conformidad mínima del 98 % durante cinco días consecutivos; pruebas tecnológicas sin incidentes críticos ni errores abiertos de severidad alta; responsables confirmados y capacitados; y aprobación del presupuesto mínimo requerido.</w:t>
      </w:r>
    </w:p>
    <w:p>
      <w:pPr>
        <w:spacing w:after="100"/>
      </w:pPr>
      <w:r>
        <w:rPr>
          <w:b/>
          <w:color w:val="17365D"/>
        </w:rPr>
        <w:t xml:space="preserve">Laura Méndez: </w:t>
      </w:r>
      <w:r>
        <w:t>Estoy de acuerdo. La fecha seguirá siendo provisional. No se comunicará externamente hasta que se cumplan esas condiciones.</w:t>
      </w:r>
    </w:p>
    <w:p>
      <w:pPr>
        <w:spacing w:after="100"/>
      </w:pPr>
      <w:r>
        <w:rPr>
          <w:b/>
          <w:color w:val="17365D"/>
        </w:rPr>
        <w:t xml:space="preserve">Valentina Gómez: </w:t>
      </w:r>
      <w:r>
        <w:t>También sugiero que cualquier gasto de contingencia quede registrado como una decisión pendiente de aprobación.</w:t>
      </w:r>
    </w:p>
    <w:p>
      <w:pPr>
        <w:spacing w:after="100"/>
      </w:pPr>
      <w:r>
        <w:rPr>
          <w:b/>
          <w:color w:val="17365D"/>
        </w:rPr>
        <w:t xml:space="preserve">Camilo Torres: </w:t>
      </w:r>
      <w:r>
        <w:t>Correcto.</w:t>
      </w:r>
    </w:p>
    <w:p>
      <w:pPr>
        <w:pStyle w:val="Heading3"/>
        <w:keepNext/>
      </w:pPr>
      <w:r>
        <w:t>Riesgos principales</w:t>
      </w:r>
    </w:p>
    <w:p>
      <w:pPr>
        <w:spacing w:after="100"/>
      </w:pPr>
      <w:r>
        <w:rPr>
          <w:b/>
          <w:color w:val="17365D"/>
        </w:rPr>
        <w:t xml:space="preserve">Camilo Torres: </w:t>
      </w:r>
      <w:r>
        <w:t>Antes de cerrar, identifico tres riesgos que deben vigilarse durante la próxima semana: que la capacidad logística de Norte no sea suficiente incluso con la ruta adicional; que Sur 3 y Sur 6 no alcancen el criterio de calidad del 98 %; y que las pruebas tecnológicas detecten errores críticos que afecten la sincronización de inventario o las notificaciones. ¿Agregarían alguno?</w:t>
      </w:r>
    </w:p>
    <w:p>
      <w:pPr>
        <w:spacing w:after="100"/>
      </w:pPr>
      <w:r>
        <w:rPr>
          <w:b/>
          <w:color w:val="17365D"/>
        </w:rPr>
        <w:t xml:space="preserve">Andrés Cárdenas: </w:t>
      </w:r>
      <w:r>
        <w:t>La falta de responsables confirmados en cuatro tiendas también puede retrasar la capacitación.</w:t>
      </w:r>
    </w:p>
    <w:p>
      <w:pPr>
        <w:spacing w:after="100"/>
      </w:pPr>
      <w:r>
        <w:rPr>
          <w:b/>
          <w:color w:val="17365D"/>
        </w:rPr>
        <w:t xml:space="preserve">Laura Méndez: </w:t>
      </w:r>
      <w:r>
        <w:t>Incluyámoslo como dependencia operativa, aunque los tres riesgos principales pueden mantenerse.</w:t>
      </w:r>
    </w:p>
    <w:p>
      <w:pPr>
        <w:pStyle w:val="Heading3"/>
        <w:keepNext/>
      </w:pPr>
      <w:r>
        <w:t>Cierre</w:t>
      </w:r>
    </w:p>
    <w:p>
      <w:pPr>
        <w:spacing w:after="100"/>
      </w:pPr>
      <w:r>
        <w:rPr>
          <w:b/>
          <w:color w:val="17365D"/>
        </w:rPr>
        <w:t xml:space="preserve">Camilo Torres: </w:t>
      </w:r>
      <w:r>
        <w:t>Como siguiente paso, consolidaré las decisiones, acciones, responsables, fechas y dependencias. También prepararé una reunión de seguimiento de 25 minutos para el próximo martes con esta agenda: revisión de los criterios de salida; aprobación del presupuesto y las contingencias; y confirmación de tiendas, responsables y próximas fechas. Enviaré el resumen y el borrador de comunicación para revisión antes de distribuirlos.</w:t>
      </w:r>
    </w:p>
    <w:p>
      <w:pPr>
        <w:spacing w:after="100"/>
      </w:pPr>
      <w:r>
        <w:rPr>
          <w:b/>
          <w:color w:val="17365D"/>
        </w:rPr>
        <w:t xml:space="preserve">Laura Méndez: </w:t>
      </w:r>
      <w:r>
        <w:t>Perfecto. Reitero que ninguna fecha debe presentarse como definitiva hasta completar las validaciones. Necesitamos mantener evidencia de cada decisión y comunicar rápidamente cualquier cambio que pueda afectar la primera oleada.</w:t>
      </w:r>
    </w:p>
    <w:p>
      <w:pPr>
        <w:spacing w:after="100"/>
      </w:pPr>
      <w:r>
        <w:rPr>
          <w:b/>
          <w:color w:val="17365D"/>
        </w:rPr>
        <w:t xml:space="preserve">Camilo Torres: </w:t>
      </w:r>
      <w:r>
        <w:t>De acuerdo. Gracias a todos. Damos por finalizada la reunión.</w:t>
      </w:r>
    </w:p>
    <w:p>
      <w:pPr>
        <w:pStyle w:val="Heading1"/>
        <w:keepNext/>
      </w:pPr>
      <w:r>
        <w:t>3. Conversación posterior en Teams</w:t>
      </w:r>
    </w:p>
    <w:p>
      <w:r>
        <w:t>Publica estos mensajes en el chat de la reunión después de finalizar la transcripción. Los mensajes agregan novedades que Cowork deberá relacionar con los acuerdos registrados.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814"/>
            <w:shd w:fill="17365D"/>
            <w:tcMar>
              <w:top w:w="60" w:type="dxa"/>
              <w:start w:w="110" w:type="dxa"/>
              <w:bottom w:w="60" w:type="dxa"/>
              <w:end w:w="110" w:type="dxa"/>
            </w:tcMar>
          </w:tcPr>
          <w:p>
            <w:pPr>
              <w:spacing w:after="0" w:line="240" w:lineRule="auto"/>
            </w:pPr>
            <w:r>
              <w:rPr>
                <w:b/>
                <w:color w:val="FFFFFF"/>
                <w:sz w:val="17"/>
              </w:rPr>
              <w:t>Fecha y hora</w:t>
            </w:r>
          </w:p>
        </w:tc>
        <w:tc>
          <w:tcPr>
            <w:tcW w:type="dxa" w:w="1984"/>
            <w:shd w:fill="17365D"/>
            <w:tcMar>
              <w:top w:w="60" w:type="dxa"/>
              <w:start w:w="110" w:type="dxa"/>
              <w:bottom w:w="60" w:type="dxa"/>
              <w:end w:w="110" w:type="dxa"/>
            </w:tcMar>
          </w:tcPr>
          <w:p>
            <w:pPr>
              <w:spacing w:after="0" w:line="240" w:lineRule="auto"/>
            </w:pPr>
            <w:r>
              <w:rPr>
                <w:b/>
                <w:color w:val="FFFFFF"/>
                <w:sz w:val="17"/>
              </w:rPr>
              <w:t>Autor</w:t>
            </w:r>
          </w:p>
        </w:tc>
        <w:tc>
          <w:tcPr>
            <w:tcW w:type="dxa" w:w="6009"/>
            <w:shd w:fill="17365D"/>
            <w:tcMar>
              <w:top w:w="60" w:type="dxa"/>
              <w:start w:w="110" w:type="dxa"/>
              <w:bottom w:w="60" w:type="dxa"/>
              <w:end w:w="110" w:type="dxa"/>
            </w:tcMar>
          </w:tcPr>
          <w:p>
            <w:pPr>
              <w:spacing w:after="0" w:line="240" w:lineRule="auto"/>
            </w:pPr>
            <w:r>
              <w:rPr>
                <w:b/>
                <w:color w:val="FFFFFF"/>
                <w:sz w:val="17"/>
              </w:rPr>
              <w:t>Mensaje</w:t>
            </w:r>
          </w:p>
        </w:tc>
      </w:tr>
      <w:tr>
        <w:trPr>
          <w:cantSplit w:val="true"/>
        </w:trPr>
        <w:tc>
          <w:tcPr>
            <w:tcW w:type="dxa" w:w="1814"/>
            <w:tcMar>
              <w:top w:w="60" w:type="dxa"/>
              <w:start w:w="110" w:type="dxa"/>
              <w:bottom w:w="60" w:type="dxa"/>
              <w:end w:w="110" w:type="dxa"/>
            </w:tcMar>
            <w:vAlign w:val="center"/>
          </w:tcPr>
          <w:p>
            <w:pPr>
              <w:spacing w:after="0" w:line="240" w:lineRule="auto"/>
            </w:pPr>
            <w:r>
              <w:rPr>
                <w:sz w:val="17"/>
              </w:rPr>
              <w:t>28 jul 2026, 10:18</w:t>
            </w:r>
          </w:p>
        </w:tc>
        <w:tc>
          <w:tcPr>
            <w:tcW w:type="dxa" w:w="1984"/>
            <w:tcMar>
              <w:top w:w="60" w:type="dxa"/>
              <w:start w:w="110" w:type="dxa"/>
              <w:bottom w:w="60" w:type="dxa"/>
              <w:end w:w="110" w:type="dxa"/>
            </w:tcMar>
            <w:vAlign w:val="center"/>
          </w:tcPr>
          <w:p>
            <w:pPr>
              <w:spacing w:after="0" w:line="240" w:lineRule="auto"/>
            </w:pPr>
            <w:r>
              <w:rPr>
                <w:b/>
                <w:sz w:val="17"/>
              </w:rPr>
              <w:t>Mateo Salazar</w:t>
            </w:r>
          </w:p>
        </w:tc>
        <w:tc>
          <w:tcPr>
            <w:tcW w:type="dxa" w:w="6009"/>
            <w:tcMar>
              <w:top w:w="60" w:type="dxa"/>
              <w:start w:w="110" w:type="dxa"/>
              <w:bottom w:w="60" w:type="dxa"/>
              <w:end w:w="110" w:type="dxa"/>
            </w:tcMar>
            <w:vAlign w:val="center"/>
          </w:tcPr>
          <w:p>
            <w:pPr>
              <w:spacing w:after="0" w:line="240" w:lineRule="auto"/>
            </w:pPr>
            <w:r>
              <w:rPr>
                <w:sz w:val="17"/>
              </w:rPr>
              <w:t>Logística Andina mantiene reservada la capacidad adicional hasta el 31 de julio. Para confirmar necesita la aceptación antes del 30 de julio, el pronóstico semanal y un contacto operativo único.</w:t>
            </w:r>
          </w:p>
        </w:tc>
      </w:tr>
      <w:tr>
        <w:trPr>
          <w:cantSplit w:val="true"/>
        </w:trPr>
        <w:tc>
          <w:tcPr>
            <w:tcW w:type="dxa" w:w="1814"/>
            <w:tcMar>
              <w:top w:w="60" w:type="dxa"/>
              <w:start w:w="110" w:type="dxa"/>
              <w:bottom w:w="60" w:type="dxa"/>
              <w:end w:w="110" w:type="dxa"/>
            </w:tcMar>
            <w:vAlign w:val="center"/>
          </w:tcPr>
          <w:p>
            <w:pPr>
              <w:spacing w:after="0" w:line="240" w:lineRule="auto"/>
            </w:pPr>
            <w:r>
              <w:rPr>
                <w:sz w:val="17"/>
              </w:rPr>
              <w:t>28 jul 2026, 10:42</w:t>
            </w:r>
          </w:p>
        </w:tc>
        <w:tc>
          <w:tcPr>
            <w:tcW w:type="dxa" w:w="1984"/>
            <w:tcMar>
              <w:top w:w="60" w:type="dxa"/>
              <w:start w:w="110" w:type="dxa"/>
              <w:bottom w:w="60" w:type="dxa"/>
              <w:end w:w="110" w:type="dxa"/>
            </w:tcMar>
            <w:vAlign w:val="center"/>
          </w:tcPr>
          <w:p>
            <w:pPr>
              <w:spacing w:after="0" w:line="240" w:lineRule="auto"/>
            </w:pPr>
            <w:r>
              <w:rPr>
                <w:b/>
                <w:sz w:val="17"/>
              </w:rPr>
              <w:t>Paula Ríos</w:t>
            </w:r>
          </w:p>
        </w:tc>
        <w:tc>
          <w:tcPr>
            <w:tcW w:type="dxa" w:w="6009"/>
            <w:tcMar>
              <w:top w:w="60" w:type="dxa"/>
              <w:start w:w="110" w:type="dxa"/>
              <w:bottom w:w="60" w:type="dxa"/>
              <w:end w:w="110" w:type="dxa"/>
            </w:tcMar>
            <w:vAlign w:val="center"/>
          </w:tcPr>
          <w:p>
            <w:pPr>
              <w:spacing w:after="0" w:line="240" w:lineRule="auto"/>
            </w:pPr>
            <w:r>
              <w:rPr>
                <w:sz w:val="17"/>
              </w:rPr>
              <w:t>El ajuste para evitar notificaciones duplicadas ya está desplegado en el ambiente de pruebas. La validación funcional continúa; todavía no debe registrarse como cerrado.</w:t>
            </w:r>
          </w:p>
        </w:tc>
      </w:tr>
      <w:tr>
        <w:trPr>
          <w:cantSplit w:val="true"/>
        </w:trPr>
        <w:tc>
          <w:tcPr>
            <w:tcW w:type="dxa" w:w="1814"/>
            <w:tcMar>
              <w:top w:w="60" w:type="dxa"/>
              <w:start w:w="110" w:type="dxa"/>
              <w:bottom w:w="60" w:type="dxa"/>
              <w:end w:w="110" w:type="dxa"/>
            </w:tcMar>
            <w:vAlign w:val="center"/>
          </w:tcPr>
          <w:p>
            <w:pPr>
              <w:spacing w:after="0" w:line="240" w:lineRule="auto"/>
            </w:pPr>
            <w:r>
              <w:rPr>
                <w:sz w:val="17"/>
              </w:rPr>
              <w:t>28 jul 2026, 11:05</w:t>
            </w:r>
          </w:p>
        </w:tc>
        <w:tc>
          <w:tcPr>
            <w:tcW w:type="dxa" w:w="1984"/>
            <w:tcMar>
              <w:top w:w="60" w:type="dxa"/>
              <w:start w:w="110" w:type="dxa"/>
              <w:bottom w:w="60" w:type="dxa"/>
              <w:end w:w="110" w:type="dxa"/>
            </w:tcMar>
            <w:vAlign w:val="center"/>
          </w:tcPr>
          <w:p>
            <w:pPr>
              <w:spacing w:after="0" w:line="240" w:lineRule="auto"/>
            </w:pPr>
            <w:r>
              <w:rPr>
                <w:b/>
                <w:sz w:val="17"/>
              </w:rPr>
              <w:t>Sofía Herrera</w:t>
            </w:r>
          </w:p>
        </w:tc>
        <w:tc>
          <w:tcPr>
            <w:tcW w:type="dxa" w:w="6009"/>
            <w:tcMar>
              <w:top w:w="60" w:type="dxa"/>
              <w:start w:w="110" w:type="dxa"/>
              <w:bottom w:w="60" w:type="dxa"/>
              <w:end w:w="110" w:type="dxa"/>
            </w:tcMar>
            <w:vAlign w:val="center"/>
          </w:tcPr>
          <w:p>
            <w:pPr>
              <w:spacing w:after="0" w:line="240" w:lineRule="auto"/>
            </w:pPr>
            <w:r>
              <w:rPr>
                <w:sz w:val="17"/>
              </w:rPr>
              <w:t>La capacitación de supervisores comenzó hoy. La auditoría debe completar 50 pedidos por tienda y demostrar 98 % de conformidad durante cinco días consecutivos.</w:t>
            </w:r>
          </w:p>
        </w:tc>
      </w:tr>
      <w:tr>
        <w:trPr>
          <w:cantSplit w:val="true"/>
        </w:trPr>
        <w:tc>
          <w:tcPr>
            <w:tcW w:type="dxa" w:w="1814"/>
            <w:tcMar>
              <w:top w:w="60" w:type="dxa"/>
              <w:start w:w="110" w:type="dxa"/>
              <w:bottom w:w="60" w:type="dxa"/>
              <w:end w:w="110" w:type="dxa"/>
            </w:tcMar>
            <w:vAlign w:val="center"/>
          </w:tcPr>
          <w:p>
            <w:pPr>
              <w:spacing w:after="0" w:line="240" w:lineRule="auto"/>
            </w:pPr>
            <w:r>
              <w:rPr>
                <w:sz w:val="17"/>
              </w:rPr>
              <w:t>28 jul 2026, 11:37</w:t>
            </w:r>
          </w:p>
        </w:tc>
        <w:tc>
          <w:tcPr>
            <w:tcW w:type="dxa" w:w="1984"/>
            <w:tcMar>
              <w:top w:w="60" w:type="dxa"/>
              <w:start w:w="110" w:type="dxa"/>
              <w:bottom w:w="60" w:type="dxa"/>
              <w:end w:w="110" w:type="dxa"/>
            </w:tcMar>
            <w:vAlign w:val="center"/>
          </w:tcPr>
          <w:p>
            <w:pPr>
              <w:spacing w:after="0" w:line="240" w:lineRule="auto"/>
            </w:pPr>
            <w:r>
              <w:rPr>
                <w:b/>
                <w:sz w:val="17"/>
              </w:rPr>
              <w:t>Valentina Gómez</w:t>
            </w:r>
          </w:p>
        </w:tc>
        <w:tc>
          <w:tcPr>
            <w:tcW w:type="dxa" w:w="6009"/>
            <w:tcMar>
              <w:top w:w="60" w:type="dxa"/>
              <w:start w:w="110" w:type="dxa"/>
              <w:bottom w:w="60" w:type="dxa"/>
              <w:end w:w="110" w:type="dxa"/>
            </w:tcMar>
            <w:vAlign w:val="center"/>
          </w:tcPr>
          <w:p>
            <w:pPr>
              <w:spacing w:after="0" w:line="240" w:lineRule="auto"/>
            </w:pPr>
            <w:r>
              <w:rPr>
                <w:sz w:val="17"/>
              </w:rPr>
              <w:t>La contingencia adicional de COP 20.000.000 sigue pendiente. No está disponible para compromisos hasta recibir evidencia, cotizaciones y aprobación conjunta.</w:t>
            </w:r>
          </w:p>
        </w:tc>
      </w:tr>
      <w:tr>
        <w:trPr>
          <w:cantSplit w:val="true"/>
        </w:trPr>
        <w:tc>
          <w:tcPr>
            <w:tcW w:type="dxa" w:w="1814"/>
            <w:tcMar>
              <w:top w:w="60" w:type="dxa"/>
              <w:start w:w="110" w:type="dxa"/>
              <w:bottom w:w="60" w:type="dxa"/>
              <w:end w:w="110" w:type="dxa"/>
            </w:tcMar>
            <w:vAlign w:val="center"/>
          </w:tcPr>
          <w:p>
            <w:pPr>
              <w:spacing w:after="0" w:line="240" w:lineRule="auto"/>
            </w:pPr>
            <w:r>
              <w:rPr>
                <w:sz w:val="17"/>
              </w:rPr>
              <w:t>28 jul 2026, 12:10</w:t>
            </w:r>
          </w:p>
        </w:tc>
        <w:tc>
          <w:tcPr>
            <w:tcW w:type="dxa" w:w="1984"/>
            <w:tcMar>
              <w:top w:w="60" w:type="dxa"/>
              <w:start w:w="110" w:type="dxa"/>
              <w:bottom w:w="60" w:type="dxa"/>
              <w:end w:w="110" w:type="dxa"/>
            </w:tcMar>
            <w:vAlign w:val="center"/>
          </w:tcPr>
          <w:p>
            <w:pPr>
              <w:spacing w:after="0" w:line="240" w:lineRule="auto"/>
            </w:pPr>
            <w:r>
              <w:rPr>
                <w:b/>
                <w:sz w:val="17"/>
              </w:rPr>
              <w:t>Andrés Cárdenas</w:t>
            </w:r>
          </w:p>
        </w:tc>
        <w:tc>
          <w:tcPr>
            <w:tcW w:type="dxa" w:w="6009"/>
            <w:tcMar>
              <w:top w:w="60" w:type="dxa"/>
              <w:start w:w="110" w:type="dxa"/>
              <w:bottom w:w="60" w:type="dxa"/>
              <w:end w:w="110" w:type="dxa"/>
            </w:tcMar>
            <w:vAlign w:val="center"/>
          </w:tcPr>
          <w:p>
            <w:pPr>
              <w:spacing w:after="0" w:line="240" w:lineRule="auto"/>
            </w:pPr>
            <w:r>
              <w:rPr>
                <w:sz w:val="17"/>
              </w:rPr>
              <w:t>Ya confirmamos responsables para diez de las doce tiendas. Permanecen dos responsables por definir; enviaré la lista definitiva antes de terminar el día.</w:t>
            </w:r>
          </w:p>
        </w:tc>
      </w:tr>
      <w:tr>
        <w:trPr>
          <w:cantSplit w:val="true"/>
        </w:trPr>
        <w:tc>
          <w:tcPr>
            <w:tcW w:type="dxa" w:w="1814"/>
            <w:tcMar>
              <w:top w:w="60" w:type="dxa"/>
              <w:start w:w="110" w:type="dxa"/>
              <w:bottom w:w="60" w:type="dxa"/>
              <w:end w:w="110" w:type="dxa"/>
            </w:tcMar>
            <w:vAlign w:val="center"/>
          </w:tcPr>
          <w:p>
            <w:pPr>
              <w:spacing w:after="0" w:line="240" w:lineRule="auto"/>
            </w:pPr>
            <w:r>
              <w:rPr>
                <w:sz w:val="17"/>
              </w:rPr>
              <w:t>28 jul 2026, 12:35</w:t>
            </w:r>
          </w:p>
        </w:tc>
        <w:tc>
          <w:tcPr>
            <w:tcW w:type="dxa" w:w="1984"/>
            <w:tcMar>
              <w:top w:w="60" w:type="dxa"/>
              <w:start w:w="110" w:type="dxa"/>
              <w:bottom w:w="60" w:type="dxa"/>
              <w:end w:w="110" w:type="dxa"/>
            </w:tcMar>
            <w:vAlign w:val="center"/>
          </w:tcPr>
          <w:p>
            <w:pPr>
              <w:spacing w:after="0" w:line="240" w:lineRule="auto"/>
            </w:pPr>
            <w:r>
              <w:rPr>
                <w:b/>
                <w:sz w:val="17"/>
              </w:rPr>
              <w:t>Laura Méndez</w:t>
            </w:r>
          </w:p>
        </w:tc>
        <w:tc>
          <w:tcPr>
            <w:tcW w:type="dxa" w:w="6009"/>
            <w:tcMar>
              <w:top w:w="60" w:type="dxa"/>
              <w:start w:w="110" w:type="dxa"/>
              <w:bottom w:w="60" w:type="dxa"/>
              <w:end w:w="110" w:type="dxa"/>
            </w:tcMar>
            <w:vAlign w:val="center"/>
          </w:tcPr>
          <w:p>
            <w:pPr>
              <w:spacing w:after="0" w:line="240" w:lineRule="auto"/>
            </w:pPr>
            <w:r>
              <w:rPr>
                <w:sz w:val="17"/>
              </w:rPr>
              <w:t>Comercial mantendrá mensajes flexibles y no publicará las fechas como definitivas. Los textos de notificación para clientes estarán listos antes del 31 de julio.</w:t>
            </w:r>
          </w:p>
        </w:tc>
      </w:tr>
      <w:tr>
        <w:trPr>
          <w:cantSplit w:val="true"/>
        </w:trPr>
        <w:tc>
          <w:tcPr>
            <w:tcW w:type="dxa" w:w="1814"/>
            <w:tcMar>
              <w:top w:w="60" w:type="dxa"/>
              <w:start w:w="110" w:type="dxa"/>
              <w:bottom w:w="60" w:type="dxa"/>
              <w:end w:w="110" w:type="dxa"/>
            </w:tcMar>
            <w:vAlign w:val="center"/>
          </w:tcPr>
          <w:p>
            <w:pPr>
              <w:spacing w:after="0" w:line="240" w:lineRule="auto"/>
            </w:pPr>
            <w:r>
              <w:rPr>
                <w:sz w:val="17"/>
              </w:rPr>
              <w:t>28 jul 2026, 13:00</w:t>
            </w:r>
          </w:p>
        </w:tc>
        <w:tc>
          <w:tcPr>
            <w:tcW w:type="dxa" w:w="1984"/>
            <w:tcMar>
              <w:top w:w="60" w:type="dxa"/>
              <w:start w:w="110" w:type="dxa"/>
              <w:bottom w:w="60" w:type="dxa"/>
              <w:end w:w="110" w:type="dxa"/>
            </w:tcMar>
            <w:vAlign w:val="center"/>
          </w:tcPr>
          <w:p>
            <w:pPr>
              <w:spacing w:after="0" w:line="240" w:lineRule="auto"/>
            </w:pPr>
            <w:r>
              <w:rPr>
                <w:b/>
                <w:sz w:val="17"/>
              </w:rPr>
              <w:t>Camilo Torres</w:t>
            </w:r>
          </w:p>
        </w:tc>
        <w:tc>
          <w:tcPr>
            <w:tcW w:type="dxa" w:w="6009"/>
            <w:tcMar>
              <w:top w:w="60" w:type="dxa"/>
              <w:start w:w="110" w:type="dxa"/>
              <w:bottom w:w="60" w:type="dxa"/>
              <w:end w:w="110" w:type="dxa"/>
            </w:tcMar>
            <w:vAlign w:val="center"/>
          </w:tcPr>
          <w:p>
            <w:pPr>
              <w:spacing w:after="0" w:line="240" w:lineRule="auto"/>
            </w:pPr>
            <w:r>
              <w:rPr>
                <w:sz w:val="17"/>
              </w:rPr>
              <w:t>Actualicé el registro de acciones. Las decisiones pendientes son la ruta adicional de Norte, la guardia técnica y el monto máximo de contingencia. Prepararé el resumen y la reunión de revisión.</w:t>
            </w:r>
          </w:p>
        </w:tc>
      </w:tr>
    </w:tbl>
    <w:p>
      <w:pPr>
        <w:pStyle w:val="Heading1"/>
        <w:keepNext/>
        <w:spacing w:after="40"/>
      </w:pPr>
      <w:r>
        <w:t>4. Hallazgos verificables</w:t>
      </w:r>
    </w:p>
    <w:p>
      <w:pPr>
        <w:pStyle w:val="ListBullet"/>
        <w:spacing w:after="0" w:line="240" w:lineRule="auto"/>
      </w:pPr>
      <w:r>
        <w:rPr>
          <w:sz w:val="18"/>
        </w:rPr>
        <w:t>Las fechas del 18 de agosto y 8 de septiembre son propuestas; no están aprobadas para comunicación externa.</w:t>
      </w:r>
    </w:p>
    <w:p>
      <w:pPr>
        <w:pStyle w:val="ListBullet"/>
        <w:spacing w:after="0" w:line="240" w:lineRule="auto"/>
      </w:pPr>
      <w:r>
        <w:rPr>
          <w:sz w:val="18"/>
        </w:rPr>
        <w:t>Norte presenta una afectación logística y de capacidad; la ruta adicional mitiga el riesgo, pero no resuelve por sí sola la saturación en tienda.</w:t>
      </w:r>
    </w:p>
    <w:p>
      <w:pPr>
        <w:pStyle w:val="ListBullet"/>
        <w:spacing w:after="0" w:line="240" w:lineRule="auto"/>
      </w:pPr>
      <w:r>
        <w:rPr>
          <w:sz w:val="18"/>
        </w:rPr>
        <w:t>Sur presenta un problema de calidad distinto al de Norte; el 7,8 % de la muestra tuvo al menos una no conformidad.</w:t>
      </w:r>
    </w:p>
    <w:p>
      <w:pPr>
        <w:pStyle w:val="ListBullet"/>
        <w:spacing w:after="0" w:line="240" w:lineRule="auto"/>
      </w:pPr>
      <w:r>
        <w:rPr>
          <w:sz w:val="18"/>
        </w:rPr>
        <w:t>Sur 3 y Sur 6 permanecen fuera de la primera oleada hasta demostrar 98 % de conformidad durante cinco días consecutivos.</w:t>
      </w:r>
    </w:p>
    <w:p>
      <w:pPr>
        <w:pStyle w:val="ListBullet"/>
        <w:spacing w:after="0" w:line="240" w:lineRule="auto"/>
      </w:pPr>
      <w:r>
        <w:rPr>
          <w:sz w:val="18"/>
        </w:rPr>
        <w:t>Tecnología debe completar pruebas integrales y no dejar incidentes críticos ni errores de severidad alta abiertos.</w:t>
      </w:r>
    </w:p>
    <w:p>
      <w:pPr>
        <w:pStyle w:val="ListBullet"/>
        <w:spacing w:after="0" w:line="240" w:lineRule="auto"/>
      </w:pPr>
      <w:r>
        <w:rPr>
          <w:sz w:val="18"/>
        </w:rPr>
        <w:t>El presupuesto base disponible es de COP 27.500.000. La contingencia adicional de hasta COP 20.000.000 es una propuesta pendiente de aprobación.</w:t>
      </w:r>
    </w:p>
    <w:p>
      <w:pPr>
        <w:pStyle w:val="ListBullet"/>
        <w:spacing w:after="0" w:line="240" w:lineRule="auto"/>
      </w:pPr>
      <w:r>
        <w:rPr>
          <w:sz w:val="18"/>
        </w:rPr>
        <w:t>La primera oleada solo puede mantenerse si se cumplen los cinco criterios de salida acordados.</w:t>
      </w: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Caso ficticio para capacitación · Microsoft 365 Copilot Cowork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2F75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