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Operativo Mensual — Banco Aurora</w:t>
      </w:r>
    </w:p>
    <w:p>
      <w:r>
        <w:t>Unidad: Dirección de Operaciones Centralizadas. Periodo: marzo de 2025. Clasificación: uso interno.</w:t>
      </w:r>
    </w:p>
    <w:p>
      <w:pPr>
        <w:pStyle w:val="Heading1"/>
      </w:pPr>
      <w:r>
        <w:t>1. Procesamiento y conciliación</w:t>
      </w:r>
    </w:p>
    <w:p>
      <w:r>
        <w:t>El sistema central de conciliación presentó tres interrupciones no programadas durante la segunda semana del mes, con una duración promedio de 4.5 horas cada una. El área de Tecnología identificó que el servidor principal opera de forma sostenida al 94% de su capacidad. El presupuesto para la migración a la nube, prevista originalmente para el primer trimestre, no ha sido aprobado.</w:t>
      </w:r>
    </w:p>
    <w:p>
      <w:pPr>
        <w:pStyle w:val="Heading1"/>
      </w:pPr>
      <w:r>
        <w:t>2. Atención a sucursales</w:t>
      </w:r>
    </w:p>
    <w:p>
      <w:r>
        <w:t>Se registraron 12 solicitudes atendidas fuera del plazo comprometido con la red de sucursales (acuerdo de 24 horas). La causa principal fue la falta de analistas certificados en el proceso de apertura de cuentas empresariales. Actualmente operan 15 analistas cuando la plantilla óptima es de 22. El proceso de contratación lleva 8 semanas detenido por falta de autorización de plazas.</w:t>
      </w:r>
    </w:p>
    <w:p>
      <w:pPr>
        <w:pStyle w:val="Heading1"/>
      </w:pPr>
      <w:r>
        <w:t>3. Continuidad y seguridad operativa</w:t>
      </w:r>
    </w:p>
    <w:p>
      <w:r>
        <w:t>Se reportaron 5 incidentes menores en la bóveda de valores del centro de operaciones. La capacitación anual en seguridad operativa, programada para febrero, fue pospuesta sin nueva fecha. El 30% del personal tiene vencida su certificación en manejo de efectivo desde enero de 2025.</w:t>
      </w:r>
    </w:p>
    <w:p>
      <w:pPr>
        <w:pStyle w:val="Heading1"/>
      </w:pPr>
      <w:r>
        <w:t>4. Proveedores</w:t>
      </w:r>
    </w:p>
    <w:p>
      <w:r>
        <w:t>El proveedor principal de impresión y ensobretado de estados de cuenta notificó un incremento del 18% en tarifas a partir de abril. No se cuenta con un proveedor alterno homologado. El contrato vigente vence en 60 días y no se han iniciado las negociaciones de renovación.</w:t>
      </w:r>
    </w:p>
    <w:p>
      <w:pPr>
        <w:pStyle w:val="Heading1"/>
      </w:pPr>
      <w:r>
        <w:t>5. Tecnología</w:t>
      </w:r>
    </w:p>
    <w:p>
      <w:r>
        <w:t>Las licencias de la herramienta de monitoreo transaccional vencen el 15 de abril. El área de Compras no ha procesado la orden de renovación. Sin esa herramienta se pierde la visibilidad en tiempo real de 45 procesos críticos de liquidación.</w:t>
      </w:r>
    </w:p>
    <w:p>
      <w:pPr>
        <w:pStyle w:val="Heading1"/>
      </w:pPr>
      <w:r>
        <w:t>6. Auditoría</w:t>
      </w:r>
    </w:p>
    <w:p>
      <w:r>
        <w:t>De los 14 hallazgos abiertos de la última revisión de auditoría interna, 9 superan los 90 días sin evidencia de remediación cargada en el repositorio de control interno.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