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Trimestral de Operaciones — Banco Aurora</w:t>
      </w:r>
    </w:p>
    <w:p>
      <w:r>
        <w:t>Unidad: Dirección de Servicios Compartidos (GBS). Periodo: Q3 2025 (julio a septiembre). Clasificación: uso interno. Elaborado por: Gerencia de Planeación Operativa.</w:t>
      </w:r>
    </w:p>
    <w:p>
      <w:pPr>
        <w:pStyle w:val="Heading1"/>
      </w:pPr>
      <w:r>
        <w:t>Resumen ejecutivo</w:t>
      </w:r>
    </w:p>
    <w:p>
      <w:r>
        <w:t>La Dirección de Servicios Compartidos procesó 1,842,000 transacciones en el trimestre, un 12% más que en Q2 2025. El costo unitario por transacción bajó de $8.40 a $7.60 MXN. Los procesos de back office concentraron el 68% del volumen y los servicios de atención a sucursales el 32% restante.</w:t>
      </w:r>
    </w:p>
    <w:p>
      <w:pPr>
        <w:pStyle w:val="Heading1"/>
      </w:pPr>
      <w:r>
        <w:t>Logros del trimestre</w:t>
      </w:r>
    </w:p>
    <w:p>
      <w:pPr>
        <w:pStyle w:val="ListBullet"/>
      </w:pPr>
      <w:r>
        <w:t>Puesta en marcha del motor de conciliación automatizada para cuentas de corresponsalía: 2,400 partidas conciliadas por día sin intervención manual durante el primer mes.</w:t>
      </w:r>
    </w:p>
    <w:p>
      <w:pPr>
        <w:pStyle w:val="ListBullet"/>
      </w:pPr>
      <w:r>
        <w:t>Reducción del 18% en el tiempo de resolución de solicitudes de sucursales, de 22 a 18 horas promedio, tras habilitar el asistente de respuestas en la mesa de servicio.</w:t>
      </w:r>
    </w:p>
    <w:p>
      <w:pPr>
        <w:pStyle w:val="ListBullet"/>
      </w:pPr>
      <w:r>
        <w:t>Cierre de tres acuerdos de nivel de servicio con las áreas de Crédito, Tesorería y Medios de Pago por un valor interno estimado de 1.2 millones de pesos anuales en horas liberadas.</w:t>
      </w:r>
    </w:p>
    <w:p>
      <w:pPr>
        <w:pStyle w:val="ListBullet"/>
      </w:pPr>
      <w:r>
        <w:t>Certificación ISO 27001 obtenida en agosto de 2025 para el centro de operaciones de Monterrey.</w:t>
      </w:r>
    </w:p>
    <w:p>
      <w:pPr>
        <w:pStyle w:val="Heading1"/>
      </w:pPr>
      <w:r>
        <w:t>Desafíos identificados</w:t>
      </w:r>
    </w:p>
    <w:p>
      <w:pPr>
        <w:pStyle w:val="ListBullet"/>
      </w:pPr>
      <w:r>
        <w:t>Rotación de personal operativo del 15% trimestral, frente a un promedio del sector del 10%.</w:t>
      </w:r>
    </w:p>
    <w:p>
      <w:pPr>
        <w:pStyle w:val="ListBullet"/>
      </w:pPr>
      <w:r>
        <w:t>Retraso de tres semanas en el proyecto de migración del expediente digital de cliente.</w:t>
      </w:r>
    </w:p>
    <w:p>
      <w:pPr>
        <w:pStyle w:val="ListBullet"/>
      </w:pPr>
      <w:r>
        <w:t>Incremento del 22% en el costo de atención por canal digital, atribuido a reprocesos en validación de identidad.</w:t>
      </w:r>
    </w:p>
    <w:p>
      <w:pPr>
        <w:pStyle w:val="ListBullet"/>
      </w:pPr>
      <w:r>
        <w:t>El 30% de los hallazgos de auditoría interna del trimestre anterior sigue sin plan de remediación formal.</w:t>
      </w:r>
    </w:p>
    <w:p>
      <w:pPr>
        <w:pStyle w:val="Heading1"/>
      </w:pPr>
      <w:r>
        <w:t>Perspectivas Q4 2025</w:t>
      </w:r>
    </w:p>
    <w:p>
      <w:pPr>
        <w:pStyle w:val="ListBullet"/>
      </w:pPr>
      <w:r>
        <w:t>Ampliación del motor de conciliación a cuentas de clientes institucionales.</w:t>
      </w:r>
    </w:p>
    <w:p>
      <w:pPr>
        <w:pStyle w:val="ListBullet"/>
      </w:pPr>
      <w:r>
        <w:t>Meta de reducción del 10% en el costo de atención del canal digital mediante rediseño del flujo de validación.</w:t>
      </w:r>
    </w:p>
    <w:p>
      <w:pPr>
        <w:pStyle w:val="ListBullet"/>
      </w:pPr>
      <w:r>
        <w:t>Contratación de 15 analistas operativos para cubrir vacantes críticas en Monterrey y Guadalajara.</w:t>
      </w:r>
    </w:p>
    <w:p>
      <w:pPr>
        <w:pStyle w:val="ListBullet"/>
      </w:pPr>
      <w:r>
        <w:t>Apertura del centro de operaciones de respaldo en Querétaro, previsto para diciembre.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