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POL-COM-014 — Política de Comunicaciones Externas</w:t>
      </w:r>
    </w:p>
    <w:p>
      <w:r>
        <w:t>Banco Aurora. Vigente desde el 1 de enero de 2025. Responsable: Dirección de Cumplimiento Normativo. Alcance: todo el personal que sostenga comunicación escrita con clientes, proveedores o terceros.</w:t>
      </w:r>
    </w:p>
    <w:p>
      <w:pPr>
        <w:pStyle w:val="Heading1"/>
      </w:pPr>
      <w:r>
        <w:t>Reglas</w:t>
      </w:r>
    </w:p>
    <w:p>
      <w:r>
        <w:t>1. Toda comunicación externa dirigida a un cliente debe incluir el nombre completo del remitente, su cargo y sus datos de contacto institucionales.</w:t>
      </w:r>
    </w:p>
    <w:p>
      <w:r>
        <w:t>2. Está prohibido incluir información financiera no pública del Banco —proyecciones, márgenes, costos internos o resultados no divulgados— en comunicaciones a clientes.</w:t>
      </w:r>
    </w:p>
    <w:p>
      <w:r>
        <w:t>3. El tono debe ser formal y profesional. No se permiten expresiones coloquiales, abreviaturas informales ni emojis.</w:t>
      </w:r>
    </w:p>
    <w:p>
      <w:r>
        <w:t>4. Todo compromiso de plazo de entrega debe contar con aprobación previa documentada del gerente del área responsable.</w:t>
      </w:r>
    </w:p>
    <w:p>
      <w:r>
        <w:t>5. Debe incluirse la cláusula de confidencialidad estándar al pie del mensaje siempre que se traten proyectos en desarrollo o información no pública del cliente.</w:t>
      </w:r>
    </w:p>
    <w:p>
      <w:r>
        <w:t>6. Los mensajes deben enviarse exclusivamente desde cuentas de correo institucionales del dominio bancoaurora.com. Queda prohibido el uso de cuentas personales.</w:t>
      </w:r>
    </w:p>
    <w:p>
      <w:pPr>
        <w:pStyle w:val="Heading1"/>
      </w:pPr>
      <w:r>
        <w:t>Consecuencias del incumplimiento</w:t>
      </w:r>
    </w:p>
    <w:p>
      <w:r>
        <w:t>El incumplimiento de esta política se registra como hallazgo de control interno y se escala a la Dirección de Cumplimiento Normativo para su valoración.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