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de Prestación de Servicios CS-2024-0891</w:t>
      </w:r>
    </w:p>
    <w:p>
      <w:r>
        <w:t>Fecha de firma: 15 de enero de 2025. Vigencia: del 15 de enero al 31 de diciembre de 2025.</w:t>
      </w:r>
    </w:p>
    <w:p>
      <w:r>
        <w:t>Contratante: Banco Aurora, S.A., Institución de Banca Múltiple. Proveedor: Servicios de Infraestructura Meridiano, S.A. de C.V.</w:t>
      </w:r>
    </w:p>
    <w:p>
      <w:pPr>
        <w:pStyle w:val="Heading1"/>
      </w:pPr>
      <w:r>
        <w:t>Cláusula 3 — Niveles de servicio</w:t>
      </w:r>
    </w:p>
    <w:p>
      <w:r>
        <w:t>3.1 Disponibilidad mínima garantizada de la plataforma: 99.5% mensual.</w:t>
      </w:r>
    </w:p>
    <w:p>
      <w:r>
        <w:t>3.2 Tiempo máximo de respuesta ante incidentes críticos: 30 minutos.</w:t>
      </w:r>
    </w:p>
    <w:p>
      <w:r>
        <w:t>3.3 Tiempo máximo de resolución de incidentes críticos: 4 horas.</w:t>
      </w:r>
    </w:p>
    <w:p>
      <w:r>
        <w:t>3.4 Ventana de mantenimiento programado autorizada: domingos de 02:00 a 06:00 horas.</w:t>
      </w:r>
    </w:p>
    <w:p>
      <w:pPr>
        <w:pStyle w:val="Heading1"/>
      </w:pPr>
      <w:r>
        <w:t>Cláusula 4 — Contraprestación y penalizaciones</w:t>
      </w:r>
    </w:p>
    <w:p>
      <w:r>
        <w:t>4.1 Monto mensual fijo: $150,000.00 MXN más IVA.</w:t>
      </w:r>
    </w:p>
    <w:p>
      <w:r>
        <w:t>4.2 Penalización por incumplimiento de disponibilidad: 5% del monto mensual por cada 0.1% por debajo del 99.5% comprometido.</w:t>
      </w:r>
    </w:p>
    <w:p>
      <w:r>
        <w:t>4.3 Penalización por exceder el tiempo máximo de respuesta: $5,000.00 MXN por incidente.</w:t>
      </w:r>
    </w:p>
    <w:p>
      <w:pPr>
        <w:pStyle w:val="Heading1"/>
      </w:pPr>
      <w:r>
        <w:t>Cláusula 5 — Capacidad contratada</w:t>
      </w:r>
    </w:p>
    <w:p>
      <w:r>
        <w:t>5.1 Servidores dedicados: 12 instancias de alto rendimiento.</w:t>
      </w:r>
    </w:p>
    <w:p>
      <w:r>
        <w:t>5.2 Almacenamiento: 5 TB en estado sólido.</w:t>
      </w:r>
    </w:p>
    <w:p>
      <w:r>
        <w:t>5.3 Ancho de banda garantizado: 1 Gbps simétrico.</w:t>
      </w:r>
    </w:p>
    <w:p>
      <w:r>
        <w:t>5.4 Respaldos: incrementales diarios y completos semanales, con retención mínima de 90 días.</w:t>
      </w:r>
    </w:p>
    <w:p>
      <w:pPr>
        <w:pStyle w:val="Heading1"/>
      </w:pPr>
      <w:r>
        <w:t>Cláusula 7 — Obligaciones de reporte</w:t>
      </w:r>
    </w:p>
    <w:p>
      <w:r>
        <w:t>7.1 El proveedor entregará un reporte mensual de operación antes del día 5 del mes siguiente.</w:t>
      </w:r>
    </w:p>
    <w:p>
      <w:r>
        <w:t>7.2 El reporte incluirá, como mínimo: métricas de disponibilidad, detalle de incidentes, capacidad utilizada, ejecución de respaldos y facturación del periodo.</w:t>
      </w:r>
    </w:p>
    <w:p>
      <w:pPr>
        <w:pStyle w:val="Heading1"/>
      </w:pPr>
      <w:r>
        <w:t>Cláusula 9 — Auditoría</w:t>
      </w:r>
    </w:p>
    <w:p>
      <w:r>
        <w:t>9.1 El Banco podrá auditar el cumplimiento de los niveles de servicio en cualquier momento durante la vigencia del contrato.</w:t>
      </w:r>
    </w:p>
    <w:p>
      <w:r>
        <w:t>9.2 Las penalizaciones no aplicadas por el proveedor podrán ser reclamadas por el Banco dentro de los 12 meses siguientes al periodo evaluado.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