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Mensual de Operación — Marzo 2025</w:t>
      </w:r>
    </w:p>
    <w:p>
      <w:r>
        <w:t>Contrato: CS-2024-0891. Fecha de entrega: 7 de abril de 2025. Elaborado por: Servicios de Infraestructura Meridiano, S.A. de C.V.</w:t>
      </w:r>
    </w:p>
    <w:p>
      <w:pPr>
        <w:pStyle w:val="Heading1"/>
      </w:pPr>
      <w:r>
        <w:t>1. Disponibilidad</w:t>
      </w:r>
    </w:p>
    <w:p>
      <w:r>
        <w:t>Disponibilidad del mes: 99.2%. Horas totales del periodo: 744. Horas de indisponibilidad no programada: 5.95. Ventanas de mantenimiento utilizadas: 3 (domingos 2, 9 y 23 de marzo). Horario de mantenimiento aplicado: domingos de 01:00 a 05:00 horas.</w:t>
      </w:r>
    </w:p>
    <w:p>
      <w:pPr>
        <w:pStyle w:val="Heading1"/>
      </w:pPr>
      <w:r>
        <w:t>2. Incidentes</w:t>
      </w:r>
    </w:p>
    <w:p>
      <w:r>
        <w:t>Total de incidentes: 8. Incidentes críticos: 3.</w:t>
      </w:r>
    </w:p>
    <w:p>
      <w:pPr>
        <w:pStyle w:val="ListBullet"/>
      </w:pPr>
      <w:r>
        <w:t>INC-001, 5 de marzo. Respuesta: 25 minutos. Resolución: 3.5 horas.</w:t>
      </w:r>
    </w:p>
    <w:p>
      <w:pPr>
        <w:pStyle w:val="ListBullet"/>
      </w:pPr>
      <w:r>
        <w:t>INC-002, 12 de marzo. Respuesta: 45 minutos. Resolución: 5.2 horas.</w:t>
      </w:r>
    </w:p>
    <w:p>
      <w:pPr>
        <w:pStyle w:val="ListBullet"/>
      </w:pPr>
      <w:r>
        <w:t>INC-003, 28 de marzo. Respuesta: 20 minutos. Resolución: 2.1 horas.</w:t>
      </w:r>
    </w:p>
    <w:p>
      <w:r>
        <w:t>Incidentes no críticos: 5, todos resueltos dentro del plazo.</w:t>
      </w:r>
    </w:p>
    <w:p>
      <w:pPr>
        <w:pStyle w:val="Heading1"/>
      </w:pPr>
      <w:r>
        <w:t>3. Capacidad</w:t>
      </w:r>
    </w:p>
    <w:p>
      <w:r>
        <w:t>Servidores activos: 11 instancias (1 fuera de servicio por mantenimiento correctivo). Almacenamiento utilizado: 3.8 TB de 5 TB disponibles. Ancho de banda promedio: 850 Mbps. Ancho de banda pico: 1.2 Gbps.</w:t>
      </w:r>
    </w:p>
    <w:p>
      <w:pPr>
        <w:pStyle w:val="Heading1"/>
      </w:pPr>
      <w:r>
        <w:t>4. Respaldos</w:t>
      </w:r>
    </w:p>
    <w:p>
      <w:r>
        <w:t>Respaldos diarios ejecutados: 29 de 31 (fallaron los días 14 y 15). Respaldos semanales ejecutados: 4 de 4. Retención configurada: 60 días. Última prueba de restauración: 20 de marzo, exitosa.</w:t>
      </w:r>
    </w:p>
    <w:p>
      <w:pPr>
        <w:pStyle w:val="Heading1"/>
      </w:pPr>
      <w:r>
        <w:t>5. Facturación</w:t>
      </w:r>
    </w:p>
    <w:p>
      <w:r>
        <w:t>Monto facturado: $150,000.00 MXN más IVA. Penalizaciones aplicadas: ninguna.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