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Avance del Programa de Digitalización — Enero 2026</w:t>
      </w:r>
    </w:p>
    <w:p>
      <w:r>
        <w:t>Banco Aurora. Oficina de Gestión de Proyectos. Clasificación: uso interno.</w:t>
      </w:r>
    </w:p>
    <w:p>
      <w:pPr>
        <w:pStyle w:val="Heading1"/>
      </w:pPr>
      <w:r>
        <w:t>Estado general</w:t>
      </w:r>
    </w:p>
    <w:p>
      <w:pPr>
        <w:pStyle w:val="ListBullet"/>
      </w:pPr>
      <w:r>
        <w:t>Fase 1 completada: migración de la plataforma de canales a la nube (100%).</w:t>
      </w:r>
    </w:p>
    <w:p>
      <w:pPr>
        <w:pStyle w:val="ListBullet"/>
      </w:pPr>
      <w:r>
        <w:t>Fase 2 en progreso: automatización de procesos de back office (65%).</w:t>
      </w:r>
    </w:p>
    <w:p>
      <w:pPr>
        <w:pStyle w:val="ListBullet"/>
      </w:pPr>
      <w:r>
        <w:t>Fase 3 no iniciada: expediente digital de cliente unificado.</w:t>
      </w:r>
    </w:p>
    <w:p>
      <w:pPr>
        <w:pStyle w:val="Heading1"/>
      </w:pPr>
      <w:r>
        <w:t>Bloqueantes</w:t>
      </w:r>
    </w:p>
    <w:p>
      <w:pPr>
        <w:pStyle w:val="ListBullet"/>
      </w:pPr>
      <w:r>
        <w:t>La integración con el core bancario heredado sigue pendiente. La ventana de trabajo se movió a febrero por disponibilidad del proveedor.</w:t>
      </w:r>
    </w:p>
    <w:p>
      <w:pPr>
        <w:pStyle w:val="ListBullet"/>
      </w:pPr>
      <w:r>
        <w:t>Dos plazas de arquitecto de integración permanecen vacantes desde noviembre.</w:t>
      </w:r>
    </w:p>
    <w:p>
      <w:pPr>
        <w:pStyle w:val="Heading1"/>
      </w:pPr>
      <w:r>
        <w:t>Recursos</w:t>
      </w:r>
    </w:p>
    <w:p>
      <w:pPr>
        <w:pStyle w:val="ListBullet"/>
      </w:pPr>
      <w:r>
        <w:t>Equipo asignado: 12 personas de tiempo completo.</w:t>
      </w:r>
    </w:p>
    <w:p>
      <w:pPr>
        <w:pStyle w:val="ListBullet"/>
      </w:pPr>
      <w:r>
        <w:t>Presupuesto ejecutado: 70% del total aprobado, con 45% del alcance pendiente.</w:t>
      </w:r>
    </w:p>
    <w:p>
      <w:pPr>
        <w:pStyle w:val="Heading1"/>
      </w:pPr>
      <w:r>
        <w:t>Próximo hito</w:t>
      </w:r>
    </w:p>
    <w:p>
      <w:r>
        <w:t>Demostración ejecutiva del flujo automatizado de alta de cliente empresarial, programada para el 15 de febrero ante el Comité de Dirección.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