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Financieros Q4 2025 — Banco Aurora</w:t>
      </w:r>
    </w:p>
    <w:p>
      <w:r>
        <w:t>Documento de trabajo para el Comité de Dirección. Clasificación: uso interno.</w:t>
      </w:r>
    </w:p>
    <w:p>
      <w:pPr>
        <w:pStyle w:val="Heading1"/>
      </w:pPr>
      <w:r>
        <w:t>Principales cifras</w:t>
      </w:r>
    </w:p>
    <w:p>
      <w:pPr>
        <w:pStyle w:val="ListBullet"/>
      </w:pPr>
      <w:r>
        <w:t>Ingresos totales del trimestre: 2,400 millones de pesos, 12% por encima de Q3.</w:t>
      </w:r>
    </w:p>
    <w:p>
      <w:pPr>
        <w:pStyle w:val="ListBullet"/>
      </w:pPr>
      <w:r>
        <w:t>Gastos operativos: 1,800 millones de pesos, 5% por debajo de Q3.</w:t>
      </w:r>
    </w:p>
    <w:p>
      <w:pPr>
        <w:pStyle w:val="ListBullet"/>
      </w:pPr>
      <w:r>
        <w:t>Margen financiero neto: 25%.</w:t>
      </w:r>
    </w:p>
    <w:p>
      <w:pPr>
        <w:pStyle w:val="ListBullet"/>
      </w:pPr>
      <w:r>
        <w:t>Índice de eficiencia operativa: 48.2%, mejor que el objetivo interno de 52%.</w:t>
      </w:r>
    </w:p>
    <w:p>
      <w:pPr>
        <w:pStyle w:val="Heading1"/>
      </w:pPr>
      <w:r>
        <w:t>Impulsores del resultado</w:t>
      </w:r>
    </w:p>
    <w:p>
      <w:r>
        <w:t>El crecimiento se explica principalmente por la expansión de la banca empresarial en la región del Bajío y por la reducción de costos de operación tras la centralización de procesos en el centro de Monterrey.</w:t>
      </w:r>
    </w:p>
    <w:p>
      <w:pPr>
        <w:pStyle w:val="Heading1"/>
      </w:pPr>
      <w:r>
        <w:t>Riesgos identificados</w:t>
      </w:r>
    </w:p>
    <w:p>
      <w:pPr>
        <w:pStyle w:val="ListBullet"/>
      </w:pPr>
      <w:r>
        <w:t>El 40% de los ingresos de banca empresarial proviene de un solo grupo corporativo. La pérdida de esa cuenta comprometería el resultado del siguiente ejercicio.</w:t>
      </w:r>
    </w:p>
    <w:p>
      <w:pPr>
        <w:pStyle w:val="ListBullet"/>
      </w:pPr>
      <w:r>
        <w:t>El costo de fondeo mayorista subió 60 puntos base en el trimestre y la tendencia continúa.</w:t>
      </w:r>
    </w:p>
    <w:p>
      <w:pPr>
        <w:pStyle w:val="ListBullet"/>
      </w:pPr>
      <w:r>
        <w:t>La provisión por riesgo crediticio en cartera de consumo creció 8% sin que se haya ajustado el modelo de originación.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