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 Nexo — Resumen Ejecutivo</w:t>
      </w:r>
    </w:p>
    <w:p>
      <w:r>
        <w:t>Banco Aurora. Oficina de Gestión de Proyectos. Clasificación: uso interno.</w:t>
      </w:r>
    </w:p>
    <w:p>
      <w:pPr>
        <w:pStyle w:val="Heading1"/>
      </w:pPr>
      <w:r>
        <w:t>Ficha del proyecto</w:t>
      </w:r>
    </w:p>
    <w:p>
      <w:pPr>
        <w:pStyle w:val="ListBullet"/>
      </w:pPr>
      <w:r>
        <w:t>Objetivo: unificar la mesa de servicio de las tres regiones operativas en una sola plataforma.</w:t>
      </w:r>
    </w:p>
    <w:p>
      <w:pPr>
        <w:pStyle w:val="ListBullet"/>
      </w:pPr>
      <w:r>
        <w:t>Estado: en progreso.</w:t>
      </w:r>
    </w:p>
    <w:p>
      <w:pPr>
        <w:pStyle w:val="ListBullet"/>
      </w:pPr>
      <w:r>
        <w:t>Fase actual: implementación, semana 3 de 8.</w:t>
      </w:r>
    </w:p>
    <w:p>
      <w:pPr>
        <w:pStyle w:val="ListBullet"/>
      </w:pPr>
      <w:r>
        <w:t>Líder del proyecto: Laura Martínez, Gerencia de Operaciones.</w:t>
      </w:r>
    </w:p>
    <w:p>
      <w:pPr>
        <w:pStyle w:val="ListBullet"/>
      </w:pPr>
      <w:r>
        <w:t>Equipo: 6 personas.</w:t>
      </w:r>
    </w:p>
    <w:p>
      <w:pPr>
        <w:pStyle w:val="Heading1"/>
      </w:pPr>
      <w:r>
        <w:t>Hitos completados</w:t>
      </w:r>
    </w:p>
    <w:p>
      <w:pPr>
        <w:pStyle w:val="ListBullet"/>
      </w:pPr>
      <w:r>
        <w:t>Definición de alcance y criterios de aceptación.</w:t>
      </w:r>
    </w:p>
    <w:p>
      <w:pPr>
        <w:pStyle w:val="ListBullet"/>
      </w:pPr>
      <w:r>
        <w:t>Diseño de la arquitectura de integración.</w:t>
      </w:r>
    </w:p>
    <w:p>
      <w:pPr>
        <w:pStyle w:val="ListBullet"/>
      </w:pPr>
      <w:r>
        <w:t>Configuración del ambiente de pruebas.</w:t>
      </w:r>
    </w:p>
    <w:p>
      <w:pPr>
        <w:pStyle w:val="Heading1"/>
      </w:pPr>
      <w:r>
        <w:t>Hitos próximos</w:t>
      </w:r>
    </w:p>
    <w:p>
      <w:pPr>
        <w:pStyle w:val="ListBullet"/>
      </w:pPr>
      <w:r>
        <w:t>Migración de datos históricos de tickets: en progreso, 60% completado.</w:t>
      </w:r>
    </w:p>
    <w:p>
      <w:pPr>
        <w:pStyle w:val="ListBullet"/>
      </w:pPr>
      <w:r>
        <w:t>Pruebas de integración con el core bancario: pendiente, inicio en la semana 4.</w:t>
      </w:r>
    </w:p>
    <w:p>
      <w:pPr>
        <w:pStyle w:val="Heading1"/>
      </w:pPr>
      <w:r>
        <w:t>Riesgos</w:t>
      </w:r>
    </w:p>
    <w:p>
      <w:pPr>
        <w:pStyle w:val="ListBullet"/>
      </w:pPr>
      <w:r>
        <w:t>Retraso potencial en la migración de datos por dependencia con el proveedor externo.</w:t>
      </w:r>
    </w:p>
    <w:p>
      <w:pPr>
        <w:pStyle w:val="ListBullet"/>
      </w:pPr>
      <w:r>
        <w:t>Disponibilidad limitada del equipo de calidad durante la semana 5 por cierre contable.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