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Mensual de Operación — Abril 2025</w:t>
      </w:r>
    </w:p>
    <w:p>
      <w:r>
        <w:t>Contrato: CS-2024-0891. Fecha de entrega: 4 de mayo de 2025. Elaborado por: Servicios de Infraestructura Meridiano, S.A. de C.V.</w:t>
      </w:r>
    </w:p>
    <w:p>
      <w:pPr>
        <w:pStyle w:val="Heading1"/>
      </w:pPr>
      <w:r>
        <w:t>1. Disponibilidad</w:t>
      </w:r>
    </w:p>
    <w:p>
      <w:r>
        <w:t>Disponibilidad del mes: 99.7%. Horas totales del periodo: 720. Horas de indisponibilidad no programada: 2.16. Ventanas de mantenimiento utilizadas: 2 (domingos 6 y 20 de abril). Horario de mantenimiento aplicado: domingos de 02:00 a 06:00 horas.</w:t>
      </w:r>
    </w:p>
    <w:p>
      <w:pPr>
        <w:pStyle w:val="Heading1"/>
      </w:pPr>
      <w:r>
        <w:t>2. Incidentes</w:t>
      </w:r>
    </w:p>
    <w:p>
      <w:r>
        <w:t>Total de incidentes: 5. Incidentes críticos: 2.</w:t>
      </w:r>
    </w:p>
    <w:p>
      <w:pPr>
        <w:pStyle w:val="ListBullet"/>
      </w:pPr>
      <w:r>
        <w:t>INC-004, 9 de abril. Respuesta: 28 minutos. Resolución: 3.1 horas.</w:t>
      </w:r>
    </w:p>
    <w:p>
      <w:pPr>
        <w:pStyle w:val="ListBullet"/>
      </w:pPr>
      <w:r>
        <w:t>INC-005, 22 de abril. Respuesta: 52 minutos. Resolución: 6.4 horas.</w:t>
      </w:r>
    </w:p>
    <w:p>
      <w:r>
        <w:t>Incidentes no críticos: 3, todos resueltos dentro del plazo.</w:t>
      </w:r>
    </w:p>
    <w:p>
      <w:pPr>
        <w:pStyle w:val="Heading1"/>
      </w:pPr>
      <w:r>
        <w:t>3. Capacidad</w:t>
      </w:r>
    </w:p>
    <w:p>
      <w:r>
        <w:t>Servidores activos: 12 instancias. Almacenamiento utilizado: 4.1 TB de 5 TB disponibles. Ancho de banda promedio: 940 Mbps. Ancho de banda pico: 1.1 Gbps.</w:t>
      </w:r>
    </w:p>
    <w:p>
      <w:pPr>
        <w:pStyle w:val="Heading1"/>
      </w:pPr>
      <w:r>
        <w:t>4. Respaldos</w:t>
      </w:r>
    </w:p>
    <w:p>
      <w:r>
        <w:t>Respaldos diarios ejecutados: 30 de 30. Respaldos semanales ejecutados: 4 de 4. Retención configurada: 90 días. Última prueba de restauración: 18 de abril, exitosa.</w:t>
      </w:r>
    </w:p>
    <w:p>
      <w:pPr>
        <w:pStyle w:val="Heading1"/>
      </w:pPr>
      <w:r>
        <w:t>5. Facturación</w:t>
      </w:r>
    </w:p>
    <w:p>
      <w:r>
        <w:t>Monto facturado: $150,000.00 MXN más IVA. Penalizaciones aplicadas: $5,000.00 MXN por el incidente INC-005.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