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Indicadores de Talento — Enero 2026</w:t>
      </w:r>
    </w:p>
    <w:p>
      <w:r>
        <w:t>Banco Aurora. Dirección de Capital Humano. Clasificación: uso interno.</w:t>
      </w:r>
    </w:p>
    <w:p>
      <w:pPr>
        <w:pStyle w:val="Heading1"/>
      </w:pPr>
      <w:r>
        <w:t>Plantilla</w:t>
      </w:r>
    </w:p>
    <w:p>
      <w:pPr>
        <w:pStyle w:val="ListBullet"/>
      </w:pPr>
      <w:r>
        <w:t>Personal activo: 245 colaboradores en el centro de servicios compartidos.</w:t>
      </w:r>
    </w:p>
    <w:p>
      <w:pPr>
        <w:pStyle w:val="ListBullet"/>
      </w:pPr>
      <w:r>
        <w:t>Incorporaciones del mes: 3. Bajas: 1.</w:t>
      </w:r>
    </w:p>
    <w:p>
      <w:pPr>
        <w:pStyle w:val="ListBullet"/>
      </w:pPr>
      <w:r>
        <w:t>Rotación mensual: 1.2%, por debajo del objetivo del 2%.</w:t>
      </w:r>
    </w:p>
    <w:p>
      <w:pPr>
        <w:pStyle w:val="Heading1"/>
      </w:pPr>
      <w:r>
        <w:t>Clima y desarrollo</w:t>
      </w:r>
    </w:p>
    <w:p>
      <w:pPr>
        <w:pStyle w:val="ListBullet"/>
      </w:pPr>
      <w:r>
        <w:t>Índice de satisfacción laboral: 4.2 de 5.0 en la encuesta de diciembre.</w:t>
      </w:r>
    </w:p>
    <w:p>
      <w:pPr>
        <w:pStyle w:val="ListBullet"/>
      </w:pPr>
      <w:r>
        <w:t>Capacitaciones impartidas: 18 sesiones con 89% de asistencia.</w:t>
      </w:r>
    </w:p>
    <w:p>
      <w:pPr>
        <w:pStyle w:val="ListBullet"/>
      </w:pPr>
      <w:r>
        <w:t>Certificaciones en prevención de lavado de dinero vigentes: 92% de la plantilla obligada.</w:t>
      </w:r>
    </w:p>
    <w:p>
      <w:pPr>
        <w:pStyle w:val="Heading1"/>
      </w:pPr>
      <w:r>
        <w:t>Prioridades</w:t>
      </w:r>
    </w:p>
    <w:p>
      <w:pPr>
        <w:pStyle w:val="ListBullet"/>
      </w:pPr>
      <w:r>
        <w:t>No existe plan de sucesión formal para 3 posiciones directivas cuyos titulares son elegibles para retiro en los próximos 24 meses.</w:t>
      </w:r>
    </w:p>
    <w:p>
      <w:pPr>
        <w:pStyle w:val="ListBullet"/>
      </w:pPr>
      <w:r>
        <w:t>El 8% de la plantilla obligada tiene vencida su certificación en prevención de lavado de dinero.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