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Técnico Preliminar — INC-2025-042</w:t>
      </w:r>
    </w:p>
    <w:p>
      <w:r>
        <w:t>Banco Aurora. Dirección de Seguridad de la Información. Clasificación: uso interno. Última actualización: 15 de enero de 2025, 14:00 horas.</w:t>
      </w:r>
    </w:p>
    <w:p>
      <w:pPr>
        <w:pStyle w:val="Heading1"/>
      </w:pPr>
      <w:r>
        <w:t>Descripción del incidente</w:t>
      </w:r>
    </w:p>
    <w:p>
      <w:r>
        <w:t>El 15 de enero de 2025 a las 03:22 UTC se detectó un acceso no autorizado al servidor de aplicaciones AUR-PROD-DB-01, que aloja la base de datos del expediente digital de cliente. El acceso se realizó con las credenciales de la cuenta de servicio svc_respaldos, cuya contraseña no había sido rotada desde julio de 2024.</w:t>
      </w:r>
    </w:p>
    <w:p>
      <w:pPr>
        <w:pStyle w:val="Heading1"/>
      </w:pPr>
      <w:r>
        <w:t>Línea de tiempo preliminar</w:t>
      </w:r>
    </w:p>
    <w:p>
      <w:pPr>
        <w:pStyle w:val="ListBullet"/>
      </w:pPr>
      <w:r>
        <w:t>03:22 — El sistema de monitoreo registra un inicio de sesión de svc_respaldos desde una dirección IP fuera del rango autorizado.</w:t>
      </w:r>
    </w:p>
    <w:p>
      <w:pPr>
        <w:pStyle w:val="ListBullet"/>
      </w:pPr>
      <w:r>
        <w:t>03:41 — Se ejecutan consultas de lectura masiva sobre la tabla de datos de contacto de clientes.</w:t>
      </w:r>
    </w:p>
    <w:p>
      <w:pPr>
        <w:pStyle w:val="ListBullet"/>
      </w:pPr>
      <w:r>
        <w:t>04:05 — La sesión termina. No se detecta escritura ni borrado de información.</w:t>
      </w:r>
    </w:p>
    <w:p>
      <w:pPr>
        <w:pStyle w:val="ListBullet"/>
      </w:pPr>
      <w:r>
        <w:t>07:50 — El analista de guardia identifica la anomalía en la revisión matutina y escala el caso.</w:t>
      </w:r>
    </w:p>
    <w:p>
      <w:pPr>
        <w:pStyle w:val="ListBullet"/>
      </w:pPr>
      <w:r>
        <w:t>09:15 — Se confirma el incidente y se deshabilita la cuenta de servicio.</w:t>
      </w:r>
    </w:p>
    <w:p>
      <w:pPr>
        <w:pStyle w:val="ListBullet"/>
      </w:pPr>
      <w:r>
        <w:t>11:30 — Se rotan las credenciales de las 14 cuentas de servicio del ambiente productivo.</w:t>
      </w:r>
    </w:p>
    <w:p>
      <w:pPr>
        <w:pStyle w:val="Heading1"/>
      </w:pPr>
      <w:r>
        <w:t>Alcance estimado</w:t>
      </w:r>
    </w:p>
    <w:p>
      <w:r>
        <w:t>Las consultas ejecutadas alcanzaron aproximadamente 4,200 registros de datos de contacto. No hay evidencia de exposición de números de cuenta, saldos ni credenciales de clientes. El análisis forense continúa.</w:t>
      </w:r>
    </w:p>
    <w:p>
      <w:pPr>
        <w:pStyle w:val="Heading1"/>
      </w:pPr>
      <w:r>
        <w:t>Acciones tomadas</w:t>
      </w:r>
    </w:p>
    <w:p>
      <w:pPr>
        <w:pStyle w:val="ListBullet"/>
      </w:pPr>
      <w:r>
        <w:t>Deshabilitación de la cuenta svc_respaldos.</w:t>
      </w:r>
    </w:p>
    <w:p>
      <w:pPr>
        <w:pStyle w:val="ListBullet"/>
      </w:pPr>
      <w:r>
        <w:t>Rotación de credenciales de cuentas de servicio en producción.</w:t>
      </w:r>
    </w:p>
    <w:p>
      <w:pPr>
        <w:pStyle w:val="ListBullet"/>
      </w:pPr>
      <w:r>
        <w:t>Bloqueo del rango de direcciones IP de origen en el perímetro.</w:t>
      </w:r>
    </w:p>
    <w:p>
      <w:pPr>
        <w:pStyle w:val="ListBullet"/>
      </w:pPr>
      <w:r>
        <w:t>Apertura del caso ante el Comité de Riesgo Operativo.</w:t>
      </w:r>
    </w:p>
    <w:p>
      <w:pPr>
        <w:pStyle w:val="Heading1"/>
      </w:pPr>
      <w:r>
        <w:t>Acciones pendientes</w:t>
      </w:r>
    </w:p>
    <w:p>
      <w:pPr>
        <w:pStyle w:val="ListBullet"/>
      </w:pPr>
      <w:r>
        <w:t>Revisar los accesos de las últimas 48 horas en los sistemas conectados al expediente digital.</w:t>
      </w:r>
    </w:p>
    <w:p>
      <w:pPr>
        <w:pStyle w:val="ListBullet"/>
      </w:pPr>
      <w:r>
        <w:t>Determinar si procede notificación regulatoria conforme al plazo de 72 horas.</w:t>
      </w:r>
    </w:p>
    <w:p>
      <w:pPr>
        <w:pStyle w:val="ListBullet"/>
      </w:pPr>
      <w:r>
        <w:t>Definir el plan de rotación automática de credenciales de servicio.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