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fuente - Portafolios modelo</w:t>
      </w:r>
    </w:p>
    <w:p>
      <w:pPr>
        <w:jc w:val="center"/>
      </w:pPr>
      <w:r>
        <w:rPr>
          <w:b/>
          <w:color w:val="666666"/>
          <w:sz w:val="19"/>
        </w:rPr>
        <w:t>CIBEST CAPITAL - Material completamente ficticio para capacitación</w:t>
      </w:r>
    </w:p>
    <w:p>
      <w:pPr>
        <w:jc w:val="center"/>
      </w:pPr>
      <w:r>
        <w:rPr>
          <w:i/>
          <w:color w:val="804000"/>
          <w:sz w:val="18"/>
        </w:rPr>
        <w:t>No representa productos, procedimientos, políticas ni datos reales de CIBEST CAPITAL.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4F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0B4F8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Periodo del ejercicio</w:t>
            </w:r>
          </w:p>
        </w:tc>
        <w:tc>
          <w:tcPr>
            <w:tcW w:type="dxa" w:w="4968"/>
            <w:vAlign w:val="center"/>
          </w:tcPr>
          <w:p>
            <w:r>
              <w:t>1 de marzo a 31 de agosto de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Propósito</w:t>
            </w:r>
          </w:p>
        </w:tc>
        <w:tc>
          <w:tcPr>
            <w:tcW w:type="dxa" w:w="4968"/>
            <w:vAlign w:val="center"/>
          </w:tcPr>
          <w:p>
            <w:r>
              <w:t>Seguimiento interno de tres portafolios modelo ficticios.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Uso</w:t>
            </w:r>
          </w:p>
        </w:tc>
        <w:tc>
          <w:tcPr>
            <w:tcW w:type="dxa" w:w="4968"/>
            <w:vAlign w:val="center"/>
          </w:tcPr>
          <w:p>
            <w:r>
              <w:t>Preparar una presentación ejecutiva de seguimiento; no usar para recomendaciones de inversión.</w:t>
            </w:r>
          </w:p>
        </w:tc>
      </w:tr>
    </w:tbl>
    <w:p>
      <w:pPr>
        <w:pStyle w:val="Heading1"/>
      </w:pPr>
      <w:r>
        <w:t>1. Resumen del periodo</w:t>
      </w:r>
    </w:p>
    <w:p>
      <w:r>
        <w:t>Durante el periodo ficticio, los tres portafolios modelo mostraron resultados positivos, con diferencias coherentes con su exposición relativa a renta fija, renta variable y liquidez. El objetivo del seguimiento es comunicar comportamiento, cambios y asuntos que requieren monitoreo interno, no emitir recomendaciones a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656"/>
            <w:shd w:fill="D9EAF7"/>
          </w:tcPr>
          <w:p>
            <w:r>
              <w:rPr>
                <w:b/>
              </w:rPr>
              <w:t>Portafolio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</w:rPr>
              <w:t>Composición al cierre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Variación del periodo*</w:t>
            </w:r>
          </w:p>
        </w:tc>
        <w:tc>
          <w:tcPr>
            <w:tcW w:type="dxa" w:w="3888"/>
            <w:shd w:fill="D9EAF7"/>
          </w:tcPr>
          <w:p>
            <w:r>
              <w:rPr>
                <w:b/>
              </w:rPr>
              <w:t>Observación principal</w:t>
            </w:r>
          </w:p>
        </w:tc>
      </w:tr>
      <w:tr>
        <w:tc>
          <w:tcPr>
            <w:tcW w:type="dxa" w:w="1656"/>
            <w:vAlign w:val="center"/>
          </w:tcPr>
          <w:p>
            <w:r>
              <w:t>Conservador</w:t>
            </w:r>
          </w:p>
        </w:tc>
        <w:tc>
          <w:tcPr>
            <w:tcW w:type="dxa" w:w="1440"/>
            <w:vAlign w:val="center"/>
          </w:tcPr>
          <w:p>
            <w:r>
              <w:t>Conservador</w:t>
            </w:r>
          </w:p>
        </w:tc>
        <w:tc>
          <w:tcPr>
            <w:tcW w:type="dxa" w:w="3024"/>
            <w:vAlign w:val="center"/>
          </w:tcPr>
          <w:p>
            <w:r>
              <w:t>Renta fija 72%; renta variable 13%; liquidez 15%</w:t>
            </w:r>
          </w:p>
        </w:tc>
        <w:tc>
          <w:tcPr>
            <w:tcW w:type="dxa" w:w="1584"/>
            <w:vAlign w:val="center"/>
          </w:tcPr>
          <w:p>
            <w:r>
              <w:t>+2.1%</w:t>
            </w:r>
          </w:p>
        </w:tc>
        <w:tc>
          <w:tcPr>
            <w:tcW w:type="dxa" w:w="3888"/>
            <w:vAlign w:val="center"/>
          </w:tcPr>
          <w:p>
            <w:r>
              <w:t>Menor variabilidad; la renta fija explicó la mayor parte del avance.</w:t>
            </w:r>
          </w:p>
        </w:tc>
      </w:tr>
      <w:tr>
        <w:tc>
          <w:tcPr>
            <w:tcW w:type="dxa" w:w="1656"/>
            <w:vAlign w:val="center"/>
          </w:tcPr>
          <w:p>
            <w:r>
              <w:t>Moderado</w:t>
            </w:r>
          </w:p>
        </w:tc>
        <w:tc>
          <w:tcPr>
            <w:tcW w:type="dxa" w:w="1440"/>
            <w:vAlign w:val="center"/>
          </w:tcPr>
          <w:p>
            <w:r>
              <w:t>Moderado</w:t>
            </w:r>
          </w:p>
        </w:tc>
        <w:tc>
          <w:tcPr>
            <w:tcW w:type="dxa" w:w="3024"/>
            <w:vAlign w:val="center"/>
          </w:tcPr>
          <w:p>
            <w:r>
              <w:t>Renta fija 48%; renta variable 37%; liquidez 15%</w:t>
            </w:r>
          </w:p>
        </w:tc>
        <w:tc>
          <w:tcPr>
            <w:tcW w:type="dxa" w:w="1584"/>
            <w:vAlign w:val="center"/>
          </w:tcPr>
          <w:p>
            <w:r>
              <w:t>+3.8%</w:t>
            </w:r>
          </w:p>
        </w:tc>
        <w:tc>
          <w:tcPr>
            <w:tcW w:type="dxa" w:w="3888"/>
            <w:vAlign w:val="center"/>
          </w:tcPr>
          <w:p>
            <w:r>
              <w:t>Avance equilibrado, con aporte de renta variable y renta fija.</w:t>
            </w:r>
          </w:p>
        </w:tc>
      </w:tr>
      <w:tr>
        <w:tc>
          <w:tcPr>
            <w:tcW w:type="dxa" w:w="1656"/>
            <w:vAlign w:val="center"/>
          </w:tcPr>
          <w:p>
            <w:r>
              <w:t>Crecimiento</w:t>
            </w:r>
          </w:p>
        </w:tc>
        <w:tc>
          <w:tcPr>
            <w:tcW w:type="dxa" w:w="1440"/>
            <w:vAlign w:val="center"/>
          </w:tcPr>
          <w:p>
            <w:r>
              <w:t>Crecimiento</w:t>
            </w:r>
          </w:p>
        </w:tc>
        <w:tc>
          <w:tcPr>
            <w:tcW w:type="dxa" w:w="3024"/>
            <w:vAlign w:val="center"/>
          </w:tcPr>
          <w:p>
            <w:r>
              <w:t>Renta fija 24%; renta variable 66%; liquidez 10%</w:t>
            </w:r>
          </w:p>
        </w:tc>
        <w:tc>
          <w:tcPr>
            <w:tcW w:type="dxa" w:w="1584"/>
            <w:vAlign w:val="center"/>
          </w:tcPr>
          <w:p>
            <w:r>
              <w:t>+5.6%</w:t>
            </w:r>
          </w:p>
        </w:tc>
        <w:tc>
          <w:tcPr>
            <w:tcW w:type="dxa" w:w="3888"/>
            <w:vAlign w:val="center"/>
          </w:tcPr>
          <w:p>
            <w:r>
              <w:t>Mayor avance y mayor dispersión mensual por su exposición a renta variable.</w:t>
            </w:r>
          </w:p>
        </w:tc>
      </w:tr>
    </w:tbl>
    <w:p>
      <w:r>
        <w:t>*Variaciones ficticias del ejercicio. No corresponden a rentabilidades reales, benchmarks ni productos comercializados.</w:t>
      </w:r>
    </w:p>
    <w:p>
      <w:pPr>
        <w:pStyle w:val="Heading1"/>
      </w:pPr>
      <w:r>
        <w:t>2. Cambios relevantes</w:t>
      </w:r>
    </w:p>
    <w:p>
      <w:pPr>
        <w:pStyle w:val="ListBullet"/>
      </w:pPr>
      <w:r>
        <w:t>Conservador: en junio se trasladaron 5 puntos porcentuales desde liquidez hacia renta fija de corto plazo dentro del modelo ficticio.</w:t>
      </w:r>
    </w:p>
    <w:p>
      <w:pPr>
        <w:pStyle w:val="ListBullet"/>
      </w:pPr>
      <w:r>
        <w:t>Moderado: en mayo se redujo 4 puntos porcentuales la renta variable y se incrementó renta fija en la misma magnitud; en julio se revirtió parcialmente el ajuste (+2 puntos porcentuales a renta variable).</w:t>
      </w:r>
    </w:p>
    <w:p>
      <w:pPr>
        <w:pStyle w:val="ListBullet"/>
      </w:pPr>
      <w:r>
        <w:t>Crecimiento: en abril se redujo 3 puntos porcentuales la renta variable y se mantuvo mayor liquidez temporal; en agosto la exposición a renta variable volvió a 66%.</w:t>
      </w:r>
    </w:p>
    <w:p>
      <w:r>
        <w:t>Los cambios anteriores son parte del escenario académico. No implican que exista una política real de rebalanceo ni que las decisiones sean aplicables fuera del ejercicio.</w:t>
      </w:r>
    </w:p>
    <w:p>
      <w:pPr>
        <w:pStyle w:val="Heading1"/>
      </w:pPr>
      <w:r>
        <w:t>3. Comportamiento mensual ficticio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152"/>
            <w:shd w:fill="D9EAF7"/>
          </w:tcPr>
          <w:p>
            <w:r>
              <w:rPr>
                <w:b/>
              </w:rPr>
              <w:t>Mes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Conservador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Moderado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Crecimiento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Hecho de contexto del ejercicio</w:t>
            </w:r>
          </w:p>
        </w:tc>
      </w:tr>
      <w:tr>
        <w:tc>
          <w:tcPr>
            <w:tcW w:type="dxa" w:w="1152"/>
            <w:vAlign w:val="center"/>
          </w:tcPr>
          <w:p>
            <w:r>
              <w:t>Marzo</w:t>
            </w:r>
          </w:p>
        </w:tc>
        <w:tc>
          <w:tcPr>
            <w:tcW w:type="dxa" w:w="1440"/>
            <w:vAlign w:val="center"/>
          </w:tcPr>
          <w:p>
            <w:r>
              <w:t>+0.4%</w:t>
            </w:r>
          </w:p>
        </w:tc>
        <w:tc>
          <w:tcPr>
            <w:tcW w:type="dxa" w:w="1440"/>
            <w:vAlign w:val="center"/>
          </w:tcPr>
          <w:p>
            <w:r>
              <w:t>+0.7%</w:t>
            </w:r>
          </w:p>
        </w:tc>
        <w:tc>
          <w:tcPr>
            <w:tcW w:type="dxa" w:w="1440"/>
            <w:vAlign w:val="center"/>
          </w:tcPr>
          <w:p>
            <w:r>
              <w:t>+1.0%</w:t>
            </w:r>
          </w:p>
        </w:tc>
        <w:tc>
          <w:tcPr>
            <w:tcW w:type="dxa" w:w="5184"/>
            <w:vAlign w:val="center"/>
          </w:tcPr>
          <w:p>
            <w:r>
              <w:t>Mercados relativamente estables dentro del escenario.</w:t>
            </w:r>
          </w:p>
        </w:tc>
      </w:tr>
      <w:tr>
        <w:tc>
          <w:tcPr>
            <w:tcW w:type="dxa" w:w="1152"/>
            <w:vAlign w:val="center"/>
          </w:tcPr>
          <w:p>
            <w:r>
              <w:t>Abril</w:t>
            </w:r>
          </w:p>
        </w:tc>
        <w:tc>
          <w:tcPr>
            <w:tcW w:type="dxa" w:w="1440"/>
            <w:vAlign w:val="center"/>
          </w:tcPr>
          <w:p>
            <w:r>
              <w:t>+0.2%</w:t>
            </w:r>
          </w:p>
        </w:tc>
        <w:tc>
          <w:tcPr>
            <w:tcW w:type="dxa" w:w="1440"/>
            <w:vAlign w:val="center"/>
          </w:tcPr>
          <w:p>
            <w:r>
              <w:t>-0.3%</w:t>
            </w:r>
          </w:p>
        </w:tc>
        <w:tc>
          <w:tcPr>
            <w:tcW w:type="dxa" w:w="1440"/>
            <w:vAlign w:val="center"/>
          </w:tcPr>
          <w:p>
            <w:r>
              <w:t>-1.2%</w:t>
            </w:r>
          </w:p>
        </w:tc>
        <w:tc>
          <w:tcPr>
            <w:tcW w:type="dxa" w:w="5184"/>
            <w:vAlign w:val="center"/>
          </w:tcPr>
          <w:p>
            <w:r>
              <w:t>Mayor volatilidad ficticia en activos de crecimiento.</w:t>
            </w:r>
          </w:p>
        </w:tc>
      </w:tr>
      <w:tr>
        <w:tc>
          <w:tcPr>
            <w:tcW w:type="dxa" w:w="1152"/>
            <w:vAlign w:val="center"/>
          </w:tcPr>
          <w:p>
            <w:r>
              <w:t>Mayo</w:t>
            </w:r>
          </w:p>
        </w:tc>
        <w:tc>
          <w:tcPr>
            <w:tcW w:type="dxa" w:w="1440"/>
            <w:vAlign w:val="center"/>
          </w:tcPr>
          <w:p>
            <w:r>
              <w:t>+0.5%</w:t>
            </w:r>
          </w:p>
        </w:tc>
        <w:tc>
          <w:tcPr>
            <w:tcW w:type="dxa" w:w="1440"/>
            <w:vAlign w:val="center"/>
          </w:tcPr>
          <w:p>
            <w:r>
              <w:t>+0.8%</w:t>
            </w:r>
          </w:p>
        </w:tc>
        <w:tc>
          <w:tcPr>
            <w:tcW w:type="dxa" w:w="1440"/>
            <w:vAlign w:val="center"/>
          </w:tcPr>
          <w:p>
            <w:r>
              <w:t>+1.4%</w:t>
            </w:r>
          </w:p>
        </w:tc>
        <w:tc>
          <w:tcPr>
            <w:tcW w:type="dxa" w:w="5184"/>
            <w:vAlign w:val="center"/>
          </w:tcPr>
          <w:p>
            <w:r>
              <w:t>Recuperación parcial de renta variable.</w:t>
            </w:r>
          </w:p>
        </w:tc>
      </w:tr>
      <w:tr>
        <w:tc>
          <w:tcPr>
            <w:tcW w:type="dxa" w:w="1152"/>
            <w:vAlign w:val="center"/>
          </w:tcPr>
          <w:p>
            <w:r>
              <w:t>Junio</w:t>
            </w:r>
          </w:p>
        </w:tc>
        <w:tc>
          <w:tcPr>
            <w:tcW w:type="dxa" w:w="1440"/>
            <w:vAlign w:val="center"/>
          </w:tcPr>
          <w:p>
            <w:r>
              <w:t>+0.3%</w:t>
            </w:r>
          </w:p>
        </w:tc>
        <w:tc>
          <w:tcPr>
            <w:tcW w:type="dxa" w:w="1440"/>
            <w:vAlign w:val="center"/>
          </w:tcPr>
          <w:p>
            <w:r>
              <w:t>+0.6%</w:t>
            </w:r>
          </w:p>
        </w:tc>
        <w:tc>
          <w:tcPr>
            <w:tcW w:type="dxa" w:w="1440"/>
            <w:vAlign w:val="center"/>
          </w:tcPr>
          <w:p>
            <w:r>
              <w:t>+0.9%</w:t>
            </w:r>
          </w:p>
        </w:tc>
        <w:tc>
          <w:tcPr>
            <w:tcW w:type="dxa" w:w="5184"/>
            <w:vAlign w:val="center"/>
          </w:tcPr>
          <w:p>
            <w:r>
              <w:t>Mayor contribución de renta fija.</w:t>
            </w:r>
          </w:p>
        </w:tc>
      </w:tr>
      <w:tr>
        <w:tc>
          <w:tcPr>
            <w:tcW w:type="dxa" w:w="1152"/>
            <w:vAlign w:val="center"/>
          </w:tcPr>
          <w:p>
            <w:r>
              <w:t>Julio</w:t>
            </w:r>
          </w:p>
        </w:tc>
        <w:tc>
          <w:tcPr>
            <w:tcW w:type="dxa" w:w="1440"/>
            <w:vAlign w:val="center"/>
          </w:tcPr>
          <w:p>
            <w:r>
              <w:t>+0.4%</w:t>
            </w:r>
          </w:p>
        </w:tc>
        <w:tc>
          <w:tcPr>
            <w:tcW w:type="dxa" w:w="1440"/>
            <w:vAlign w:val="center"/>
          </w:tcPr>
          <w:p>
            <w:r>
              <w:t>+0.9%</w:t>
            </w:r>
          </w:p>
        </w:tc>
        <w:tc>
          <w:tcPr>
            <w:tcW w:type="dxa" w:w="1440"/>
            <w:vAlign w:val="center"/>
          </w:tcPr>
          <w:p>
            <w:r>
              <w:t>+1.6%</w:t>
            </w:r>
          </w:p>
        </w:tc>
        <w:tc>
          <w:tcPr>
            <w:tcW w:type="dxa" w:w="5184"/>
            <w:vAlign w:val="center"/>
          </w:tcPr>
          <w:p>
            <w:r>
              <w:t>Mejora general de activos de riesgo dentro del caso.</w:t>
            </w:r>
          </w:p>
        </w:tc>
      </w:tr>
      <w:tr>
        <w:tc>
          <w:tcPr>
            <w:tcW w:type="dxa" w:w="1152"/>
            <w:vAlign w:val="center"/>
          </w:tcPr>
          <w:p>
            <w:r>
              <w:t>Agosto</w:t>
            </w:r>
          </w:p>
        </w:tc>
        <w:tc>
          <w:tcPr>
            <w:tcW w:type="dxa" w:w="1440"/>
            <w:vAlign w:val="center"/>
          </w:tcPr>
          <w:p>
            <w:r>
              <w:t>+0.3%</w:t>
            </w:r>
          </w:p>
        </w:tc>
        <w:tc>
          <w:tcPr>
            <w:tcW w:type="dxa" w:w="1440"/>
            <w:vAlign w:val="center"/>
          </w:tcPr>
          <w:p>
            <w:r>
              <w:t>+1.1%</w:t>
            </w:r>
          </w:p>
        </w:tc>
        <w:tc>
          <w:tcPr>
            <w:tcW w:type="dxa" w:w="1440"/>
            <w:vAlign w:val="center"/>
          </w:tcPr>
          <w:p>
            <w:r>
              <w:t>+1.9%</w:t>
            </w:r>
          </w:p>
        </w:tc>
        <w:tc>
          <w:tcPr>
            <w:tcW w:type="dxa" w:w="5184"/>
            <w:vAlign w:val="center"/>
          </w:tcPr>
          <w:p>
            <w:r>
              <w:t>Cierre positivo con mayor dispersión entre perfiles.</w:t>
            </w:r>
          </w:p>
        </w:tc>
      </w:tr>
    </w:tbl>
    <w:p>
      <w:pPr>
        <w:pStyle w:val="Heading1"/>
      </w:pPr>
      <w:r>
        <w:t>4. Factores relevantes observados en el caso</w:t>
      </w:r>
    </w:p>
    <w:p>
      <w:pPr>
        <w:pStyle w:val="ListBullet"/>
      </w:pPr>
      <w:r>
        <w:t>La mayor exposición a renta variable del portafolio Crecimiento estuvo asociada a movimientos mensuales más amplios, tanto positivos como negativos.</w:t>
      </w:r>
    </w:p>
    <w:p>
      <w:pPr>
        <w:pStyle w:val="ListBullet"/>
      </w:pPr>
      <w:r>
        <w:t>El portafolio Conservador mantuvo la mayor proporción en renta fija y la menor dispersión mensual del conjunto.</w:t>
      </w:r>
    </w:p>
    <w:p>
      <w:pPr>
        <w:pStyle w:val="ListBullet"/>
      </w:pPr>
      <w:r>
        <w:t>El portafolio Moderado mostró un patrón intermedio y fue objeto de dos ajustes de composición durante el periodo ficticio.</w:t>
      </w:r>
    </w:p>
    <w:p>
      <w:pPr>
        <w:pStyle w:val="ListBullet"/>
      </w:pPr>
      <w:r>
        <w:t>No se incluye benchmark. Cualquier comparación contra índices externos debe tratarse como fuera del alcance del ejercicio.</w:t>
      </w:r>
    </w:p>
    <w:p>
      <w:pPr>
        <w:pStyle w:val="Heading1"/>
      </w:pPr>
      <w:r>
        <w:t>5. Temas que requieren 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Portafolio(s)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Estatus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Pregunta para la reunión</w:t>
            </w:r>
          </w:p>
        </w:tc>
      </w:tr>
      <w:tr>
        <w:tc>
          <w:tcPr>
            <w:tcW w:type="dxa" w:w="2016"/>
            <w:vAlign w:val="center"/>
          </w:tcPr>
          <w:p>
            <w:r>
              <w:t>Volatilidad mensual</w:t>
            </w:r>
          </w:p>
        </w:tc>
        <w:tc>
          <w:tcPr>
            <w:tcW w:type="dxa" w:w="2016"/>
            <w:vAlign w:val="center"/>
          </w:tcPr>
          <w:p>
            <w:r>
              <w:t>Crecimiento</w:t>
            </w:r>
          </w:p>
        </w:tc>
        <w:tc>
          <w:tcPr>
            <w:tcW w:type="dxa" w:w="1440"/>
            <w:vAlign w:val="center"/>
          </w:tcPr>
          <w:p>
            <w:r>
              <w:t>Seguimiento</w:t>
            </w:r>
          </w:p>
        </w:tc>
        <w:tc>
          <w:tcPr>
            <w:tcW w:type="dxa" w:w="4896"/>
            <w:vAlign w:val="center"/>
          </w:tcPr>
          <w:p>
            <w:r>
              <w:t>¿La exposición actual sigue alineada con el perfil del modelo ficticio?</w:t>
            </w:r>
          </w:p>
        </w:tc>
      </w:tr>
      <w:tr>
        <w:tc>
          <w:tcPr>
            <w:tcW w:type="dxa" w:w="2016"/>
            <w:vAlign w:val="center"/>
          </w:tcPr>
          <w:p>
            <w:r>
              <w:t>Efecto del rebalanceo</w:t>
            </w:r>
          </w:p>
        </w:tc>
        <w:tc>
          <w:tcPr>
            <w:tcW w:type="dxa" w:w="2016"/>
            <w:vAlign w:val="center"/>
          </w:tcPr>
          <w:p>
            <w:r>
              <w:t>Moderado</w:t>
            </w:r>
          </w:p>
        </w:tc>
        <w:tc>
          <w:tcPr>
            <w:tcW w:type="dxa" w:w="1440"/>
            <w:vAlign w:val="center"/>
          </w:tcPr>
          <w:p>
            <w:r>
              <w:t>Seguimiento</w:t>
            </w:r>
          </w:p>
        </w:tc>
        <w:tc>
          <w:tcPr>
            <w:tcW w:type="dxa" w:w="4896"/>
            <w:vAlign w:val="center"/>
          </w:tcPr>
          <w:p>
            <w:r>
              <w:t>¿Los cambios de mayo y julio lograron el efecto esperado dentro del escenario?</w:t>
            </w:r>
          </w:p>
        </w:tc>
      </w:tr>
      <w:tr>
        <w:tc>
          <w:tcPr>
            <w:tcW w:type="dxa" w:w="2016"/>
            <w:vAlign w:val="center"/>
          </w:tcPr>
          <w:p>
            <w:r>
              <w:t>Nivel de liquidez</w:t>
            </w:r>
          </w:p>
        </w:tc>
        <w:tc>
          <w:tcPr>
            <w:tcW w:type="dxa" w:w="2016"/>
            <w:vAlign w:val="center"/>
          </w:tcPr>
          <w:p>
            <w:r>
              <w:t>Conservador / Moderado</w:t>
            </w:r>
          </w:p>
        </w:tc>
        <w:tc>
          <w:tcPr>
            <w:tcW w:type="dxa" w:w="1440"/>
            <w:vAlign w:val="center"/>
          </w:tcPr>
          <w:p>
            <w:r>
              <w:t>Revisión</w:t>
            </w:r>
          </w:p>
        </w:tc>
        <w:tc>
          <w:tcPr>
            <w:tcW w:type="dxa" w:w="4896"/>
            <w:vAlign w:val="center"/>
          </w:tcPr>
          <w:p>
            <w:r>
              <w:t>¿El nivel de liquidez sigue siendo suficiente para el objetivo académico definido?</w:t>
            </w:r>
          </w:p>
        </w:tc>
      </w:tr>
      <w:tr>
        <w:tc>
          <w:tcPr>
            <w:tcW w:type="dxa" w:w="2016"/>
            <w:vAlign w:val="center"/>
          </w:tcPr>
          <w:p>
            <w:r>
              <w:t>Calidad de la explicación</w:t>
            </w:r>
          </w:p>
        </w:tc>
        <w:tc>
          <w:tcPr>
            <w:tcW w:type="dxa" w:w="2016"/>
            <w:vAlign w:val="center"/>
          </w:tcPr>
          <w:p>
            <w:r>
              <w:t>Todos</w:t>
            </w:r>
          </w:p>
        </w:tc>
        <w:tc>
          <w:tcPr>
            <w:tcW w:type="dxa" w:w="1440"/>
            <w:vAlign w:val="center"/>
          </w:tcPr>
          <w:p>
            <w:r>
              <w:t>Pendiente</w:t>
            </w:r>
          </w:p>
        </w:tc>
        <w:tc>
          <w:tcPr>
            <w:tcW w:type="dxa" w:w="4896"/>
            <w:vAlign w:val="center"/>
          </w:tcPr>
          <w:p>
            <w:r>
              <w:t>¿La presentación diferencia claramente hechos del periodo y asuntos por validar?</w:t>
            </w:r>
          </w:p>
        </w:tc>
      </w:tr>
    </w:tbl>
    <w:p>
      <w:pPr>
        <w:pStyle w:val="Heading1"/>
      </w:pPr>
      <w:r>
        <w:t>6. Detalle por portafolio</w:t>
      </w:r>
    </w:p>
    <w:p>
      <w:pPr>
        <w:pStyle w:val="Heading2"/>
      </w:pPr>
      <w:r>
        <w:t>Conservador</w:t>
      </w:r>
    </w:p>
    <w:p>
      <w:pPr>
        <w:pStyle w:val="ListBullet"/>
      </w:pPr>
      <w:r>
        <w:t>Objetivo ficticio: priorizar estabilidad relativa y preservación del capital dentro del modelo del ejercicio.</w:t>
      </w:r>
    </w:p>
    <w:p>
      <w:pPr>
        <w:pStyle w:val="ListBullet"/>
      </w:pPr>
      <w:r>
        <w:t>Perfil de riesgo ficticio: conservador.</w:t>
      </w:r>
    </w:p>
    <w:p>
      <w:pPr>
        <w:pStyle w:val="ListBullet"/>
      </w:pPr>
      <w:r>
        <w:t>Observación: no registró meses negativos en el periodo simulado.</w:t>
      </w:r>
    </w:p>
    <w:p>
      <w:pPr>
        <w:pStyle w:val="ListBullet"/>
      </w:pPr>
      <w:r>
        <w:t>Pendiente: revisar si el incremento de renta fija de corto plazo de junio debe mantenerse durante el siguiente periodo académico.</w:t>
      </w:r>
    </w:p>
    <w:p>
      <w:pPr>
        <w:pStyle w:val="Heading2"/>
      </w:pPr>
      <w:r>
        <w:t>Moderado</w:t>
      </w:r>
    </w:p>
    <w:p>
      <w:pPr>
        <w:pStyle w:val="ListBullet"/>
      </w:pPr>
      <w:r>
        <w:t>Objetivo ficticio: equilibrar crecimiento y estabilidad dentro del modelo del ejercicio.</w:t>
      </w:r>
    </w:p>
    <w:p>
      <w:pPr>
        <w:pStyle w:val="ListBullet"/>
      </w:pPr>
      <w:r>
        <w:t>Perfil de riesgo ficticio: moderado.</w:t>
      </w:r>
    </w:p>
    <w:p>
      <w:pPr>
        <w:pStyle w:val="ListBullet"/>
      </w:pPr>
      <w:r>
        <w:t>Observación: tuvo un mes negativo en abril y recuperación posterior.</w:t>
      </w:r>
    </w:p>
    <w:p>
      <w:pPr>
        <w:pStyle w:val="ListBullet"/>
      </w:pPr>
      <w:r>
        <w:t>Pendiente: documentar el racional del ajuste de mayo y la reversión parcial de julio.</w:t>
      </w:r>
    </w:p>
    <w:p>
      <w:pPr>
        <w:pStyle w:val="Heading2"/>
      </w:pPr>
      <w:r>
        <w:t>Crecimiento</w:t>
      </w:r>
    </w:p>
    <w:p>
      <w:pPr>
        <w:pStyle w:val="ListBullet"/>
      </w:pPr>
      <w:r>
        <w:t>Objetivo ficticio: priorizar crecimiento de largo plazo aceptando mayor variabilidad dentro del modelo del ejercicio.</w:t>
      </w:r>
    </w:p>
    <w:p>
      <w:pPr>
        <w:pStyle w:val="ListBullet"/>
      </w:pPr>
      <w:r>
        <w:t>Perfil de riesgo ficticio: crecimiento.</w:t>
      </w:r>
    </w:p>
    <w:p>
      <w:pPr>
        <w:pStyle w:val="ListBullet"/>
      </w:pPr>
      <w:r>
        <w:t>Observación: presentó el mayor resultado acumulado y la mayor variación mensual.</w:t>
      </w:r>
    </w:p>
    <w:p>
      <w:pPr>
        <w:pStyle w:val="ListBullet"/>
      </w:pPr>
      <w:r>
        <w:t>Pendiente: acordar qué métricas de volatilidad se mostrarán en el siguiente seguimiento.</w:t>
      </w:r>
    </w:p>
    <w:p>
      <w:pPr>
        <w:pStyle w:val="Heading1"/>
      </w:pPr>
      <w:r>
        <w:t>7. Alcance y límites</w:t>
      </w:r>
    </w:p>
    <w:p>
      <w:pPr>
        <w:pStyle w:val="ListBullet"/>
      </w:pPr>
      <w:r>
        <w:t>Todo dato es ficticio y solo sirve para la práctica del curso.</w:t>
      </w:r>
    </w:p>
    <w:p>
      <w:pPr>
        <w:pStyle w:val="ListBullet"/>
      </w:pPr>
      <w:r>
        <w:t>No se proporcionan recomendaciones de compra, venta o asignación para personas reales.</w:t>
      </w:r>
    </w:p>
    <w:p>
      <w:pPr>
        <w:pStyle w:val="ListBullet"/>
      </w:pPr>
      <w:r>
        <w:t>No hay benchmark oficial, objetivos comerciales reales, tolerancias reales ni políticas reales de CIBEST CAPITAL en este documento.</w:t>
      </w:r>
    </w:p>
    <w:p>
      <w:pPr>
        <w:pStyle w:val="ListBullet"/>
      </w:pPr>
      <w:r>
        <w:t>Si Copilot propone información no contenida aquí, debe eliminarse o marcarse como pendiente de confirmar.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4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6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8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