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0F6CBD"/>
          <w:sz w:val="20"/>
          <w:szCs w:val="20"/>
        </w:rPr>
        <w:t xml:space="preserve">Banco Meridiano (entidad ficticia) · Material de demostración</w:t>
      </w:r>
    </w:p>
    <w:p>
      <w:pPr>
        <w:spacing w:after="120"/>
      </w:pPr>
      <w:r>
        <w:rPr>
          <w:b/>
          <w:bCs/>
          <w:color w:val="1F2A44"/>
          <w:sz w:val="44"/>
          <w:szCs w:val="44"/>
        </w:rPr>
        <w:t xml:space="preserve">Informe de resultados del tercer trimestre de 2026</w:t>
      </w:r>
    </w:p>
    <w:p>
      <w:pPr>
        <w:spacing w:after="240"/>
      </w:pPr>
      <w:r>
        <w:rPr>
          <w:color w:val="595959"/>
          <w:sz w:val="26"/>
          <w:szCs w:val="26"/>
        </w:rPr>
        <w:t xml:space="preserve">Red de sucursales · Gerencia de Canales Presenciales</w:t>
      </w:r>
    </w:p>
    <w:p>
      <w:pPr>
        <w:pStyle w:val="Heading1"/>
      </w:pPr>
      <w:r>
        <w:t xml:space="preserve">1. Resumen ejecutivo</w:t>
      </w:r>
    </w:p>
    <w:p>
      <w:pPr>
        <w:spacing w:after="120" w:line="276"/>
      </w:pPr>
      <w:r>
        <w:t xml:space="preserve">Durante el tercer trimestre de 2026 la red de seis sucursales atendió </w:t>
      </w:r>
      <w:r>
        <w:rPr>
          <w:b/>
          <w:bCs/>
        </w:rPr>
        <w:t xml:space="preserve">66.120 clientes</w:t>
      </w:r>
      <w:r>
        <w:t xml:space="preserve">, un 4 % más que en el trimestre anterior. El crecimiento de la demanda no estuvo acompañado de mejoras operativas: el </w:t>
      </w:r>
      <w:r>
        <w:rPr>
          <w:b/>
          <w:bCs/>
        </w:rPr>
        <w:t xml:space="preserve">tiempo promedio de espera subió de 19 a 21 minutos</w:t>
      </w:r>
      <w:r>
        <w:t xml:space="preserve"> y el </w:t>
      </w:r>
      <w:r>
        <w:rPr>
          <w:b/>
          <w:bCs/>
        </w:rPr>
        <w:t xml:space="preserve">NPS de la red bajó de 41 a 38 puntos</w:t>
      </w:r>
      <w:r>
        <w:t xml:space="preserve">.</w:t>
      </w:r>
    </w:p>
    <w:p>
      <w:pPr>
        <w:spacing w:after="120" w:line="276"/>
      </w:pPr>
      <w:r>
        <w:t xml:space="preserve">El deterioro se concentra en dos sucursales. </w:t>
      </w:r>
      <w:r>
        <w:rPr>
          <w:b/>
          <w:bCs/>
        </w:rPr>
        <w:t xml:space="preserve">Puerto Azul</w:t>
      </w:r>
      <w:r>
        <w:t xml:space="preserve"> y </w:t>
      </w:r>
      <w:r>
        <w:rPr>
          <w:b/>
          <w:bCs/>
        </w:rPr>
        <w:t xml:space="preserve">Parque Real</w:t>
      </w:r>
      <w:r>
        <w:t xml:space="preserve"> reúnen el 55 % de los reclamos del trimestre, presentan los tiempos de espera más altos y no alcanzaron su meta comercial. Las otras cuatro sucursales mantienen indicadores estables o en mejora.</w:t>
      </w:r>
    </w:p>
    <w:p>
      <w:pPr>
        <w:spacing w:after="120" w:line="276"/>
      </w:pPr>
      <w:r>
        <w:t xml:space="preserve">Un hallazgo relevante para la estrategia: el </w:t>
      </w:r>
      <w:r>
        <w:rPr>
          <w:b/>
          <w:bCs/>
        </w:rPr>
        <w:t xml:space="preserve">38 % de las visitas</w:t>
      </w:r>
      <w:r>
        <w:t xml:space="preserve"> corresponde a operaciones que ya pueden hacerse en la aplicación móvil (consulta de saldos, transferencias, pago de tarjetas y certificados).</w:t>
      </w:r>
    </w:p>
    <w:p>
      <w:pPr>
        <w:pStyle w:val="Heading1"/>
      </w:pPr>
      <w:r>
        <w:t xml:space="preserve">2. Indicadores por sucursal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300"/>
        <w:gridCol w:w="1400"/>
        <w:gridCol w:w="800"/>
        <w:gridCol w:w="1460"/>
        <w:gridCol w:w="10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Sucursal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Región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Clientes atendidos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Espera promedio (min)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NPS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Cumplimiento comercial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Reclamos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Centro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Norte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14.820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46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101 %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Parque Real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Norte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11.240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92 %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61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Álamos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9.870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52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107 %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Puerto Azul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12.630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86 %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94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Mirador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Occidente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8.410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49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102 %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San Gabriel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Occidente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9.150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97 %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 red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66.120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97 %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283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i/>
          <w:iCs/>
        </w:rPr>
        <w:t xml:space="preserve">Notas: la espera promedio y el NPS de la red están ponderados por clientes atendidos. El cumplimiento comercial compara los ingresos del trimestre con la meta asignada a cada sucursal.</w:t>
      </w:r>
    </w:p>
    <w:p>
      <w:pPr>
        <w:pStyle w:val="Heading1"/>
      </w:pPr>
      <w:r>
        <w:t xml:space="preserve">3. Evolución frente al trimestre anterior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1900"/>
        <w:gridCol w:w="21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Q2 2026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Q3 2026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Variación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Clientes atendidos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63.580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66.120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+4,0 %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Espera promedio (min)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+2 min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NPS de la red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−3 puntos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Reclamos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241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283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+17,4 %</w:t>
            </w:r>
          </w:p>
        </w:tc>
      </w:tr>
      <w:tr>
        <w:trPr>
          <w:tblHeader w:val="off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Cumplimiento comercial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99 %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97 %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−2 puntos</w:t>
            </w:r>
          </w:p>
        </w:tc>
      </w:tr>
    </w:tbl>
    <w:p>
      <w:pPr>
        <w:pStyle w:val="Heading1"/>
      </w:pPr>
      <w:r>
        <w:t xml:space="preserve">4. Hallazgos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Picos de demanda</w:t>
      </w:r>
      <w:r>
        <w:t xml:space="preserve">: los lunes y viernes entre las 10:00 y las 12:00 se concentra el 31 % de las visitas de la semana, con esperas superiores a 40 minutos en Puerto Azul.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Operaciones que no requieren sucursal</w:t>
      </w:r>
      <w:r>
        <w:t xml:space="preserve">: el 38 % de las visitas podría resolverse en la aplicación; en clientes menores de 35 años la cifra llega al 52 %.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Rotación de personal</w:t>
      </w:r>
      <w:r>
        <w:t xml:space="preserve">: Puerto Azul tuvo tres vacantes de cajero durante seis semanas del trimestre.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Reclamos</w:t>
      </w:r>
      <w:r>
        <w:t xml:space="preserve">: el 61 % de los reclamos de la red menciona el tiempo de espera; el 18 %, información distinta según el canal.</w:t>
      </w:r>
    </w:p>
    <w:p>
      <w:pPr>
        <w:pStyle w:val="Heading1"/>
      </w:pPr>
      <w:r>
        <w:t xml:space="preserve">5. Retos para el próximo año</w:t>
      </w:r>
    </w:p>
    <w:p>
      <w:pPr>
        <w:spacing w:after="120" w:line="276"/>
      </w:pPr>
      <w:r>
        <w:t xml:space="preserve">La red necesita absorber el crecimiento de la demanda sin aumentar la dotación en la misma proporción. Para eso es necesario derivar a canales digitales las operaciones simples, ordenar la llegada de clientes y concentrar al personal en asesoría de mayor valor. La Gerencia de Canales presentará al comité una propuesta concreta para 2027.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Datos ficticios con fines formativos  · 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PAGE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Banco Meridiano (entidad ficticia) · Material de demostración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0F6C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1F2A4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a3e6502-054a-4b87-aed2-875b7aa540dd}" enabled="1" method="Privileged" siteId="{f9d98544-7ea3-4fb6-81b8-22c5176d37a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resultados del tercer trimestre de 2026</dc:title>
  <dc:creator>Luis Orlando Maury Sánchez</dc:creator>
  <dc:description>Red de sucursales · Gerencia de Canales Presenciales</dc:description>
  <cp:lastModifiedBy>Un-named</cp:lastModifiedBy>
  <cp:revision>1</cp:revision>
  <dcterms:created xsi:type="dcterms:W3CDTF">2026-10-22T11:49:38.139Z</dcterms:created>
  <dcterms:modified xsi:type="dcterms:W3CDTF">2026-10-22T11:49:38.140Z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